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44"/>
          <w:szCs w:val="44"/>
          <w:lang w:val="en-US" w:eastAsia="zh-CN"/>
        </w:rPr>
      </w:pPr>
      <w:bookmarkStart w:id="0" w:name="_Hlk5713967"/>
      <w:bookmarkStart w:id="1" w:name="_Hlk5713794"/>
      <w:r>
        <w:rPr>
          <w:rFonts w:hint="eastAsia" w:ascii="宋体" w:hAnsi="宋体" w:eastAsia="宋体" w:cs="宋体"/>
          <w:b/>
          <w:bCs w:val="0"/>
          <w:sz w:val="44"/>
          <w:szCs w:val="44"/>
          <w:lang w:val="en-US" w:eastAsia="zh-CN"/>
        </w:rPr>
        <w:t>交易规则</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bCs/>
          <w:sz w:val="24"/>
          <w:szCs w:val="24"/>
          <w:lang w:val="en-US" w:eastAsia="zh-CN"/>
        </w:rPr>
        <w:t>一、本规则根据《山东省国有产权交易管理办法》等相关法律、法规，并遵循公开、公平、公正、诚实信用及价高者得的原则制定，</w:t>
      </w:r>
      <w:r>
        <w:rPr>
          <w:rFonts w:hint="eastAsia" w:ascii="宋体" w:hAnsi="宋体" w:eastAsia="宋体" w:cs="宋体"/>
          <w:color w:val="000000"/>
          <w:kern w:val="0"/>
          <w:sz w:val="24"/>
          <w:szCs w:val="24"/>
        </w:rPr>
        <w:t>参加本次</w:t>
      </w:r>
      <w:r>
        <w:rPr>
          <w:rFonts w:hint="eastAsia" w:ascii="宋体" w:hAnsi="宋体" w:eastAsia="宋体" w:cs="宋体"/>
          <w:color w:val="000000"/>
          <w:kern w:val="0"/>
          <w:sz w:val="24"/>
          <w:szCs w:val="24"/>
          <w:lang w:val="en-US" w:eastAsia="zh-CN"/>
        </w:rPr>
        <w:t>交易</w:t>
      </w:r>
      <w:r>
        <w:rPr>
          <w:rFonts w:hint="eastAsia" w:ascii="宋体" w:hAnsi="宋体" w:eastAsia="宋体" w:cs="宋体"/>
          <w:color w:val="000000"/>
          <w:kern w:val="0"/>
          <w:sz w:val="24"/>
          <w:szCs w:val="24"/>
        </w:rPr>
        <w:t>的</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，应</w:t>
      </w:r>
      <w:r>
        <w:rPr>
          <w:rFonts w:hint="eastAsia" w:ascii="宋体" w:hAnsi="宋体" w:eastAsia="宋体" w:cs="宋体"/>
          <w:color w:val="000000"/>
          <w:kern w:val="0"/>
          <w:sz w:val="24"/>
          <w:szCs w:val="24"/>
          <w:lang w:val="en-US" w:eastAsia="zh-CN"/>
        </w:rPr>
        <w:t>认真阅读本</w:t>
      </w:r>
      <w:r>
        <w:rPr>
          <w:rFonts w:hint="eastAsia" w:ascii="宋体" w:hAnsi="宋体" w:eastAsia="宋体" w:cs="宋体"/>
          <w:color w:val="000000"/>
          <w:kern w:val="0"/>
          <w:sz w:val="24"/>
          <w:szCs w:val="24"/>
          <w:u w:val="none"/>
        </w:rPr>
        <w:t>《交易规则》</w:t>
      </w:r>
      <w:r>
        <w:rPr>
          <w:rFonts w:hint="eastAsia" w:ascii="宋体" w:hAnsi="宋体" w:eastAsia="宋体" w:cs="宋体"/>
          <w:color w:val="000000"/>
          <w:kern w:val="0"/>
          <w:sz w:val="24"/>
          <w:szCs w:val="24"/>
        </w:rPr>
        <w:t>的规定并接受其全部内容。</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u w:val="none"/>
          <w:lang w:val="en-US" w:eastAsia="zh-CN"/>
        </w:rPr>
        <w:t>二、</w:t>
      </w:r>
      <w:r>
        <w:rPr>
          <w:rFonts w:hint="eastAsia" w:ascii="宋体" w:hAnsi="宋体" w:eastAsia="宋体" w:cs="宋体"/>
          <w:bCs/>
          <w:sz w:val="24"/>
          <w:szCs w:val="24"/>
          <w:lang w:val="en-US" w:eastAsia="zh-CN"/>
        </w:rPr>
        <w:t>牡丹机场航站楼的广告位出租项目（项目编号：HZCQ2</w:t>
      </w:r>
      <w:r>
        <w:rPr>
          <w:rFonts w:hint="eastAsia" w:ascii="宋体" w:hAnsi="宋体" w:cs="宋体"/>
          <w:bCs/>
          <w:sz w:val="24"/>
          <w:szCs w:val="24"/>
          <w:lang w:val="en-US" w:eastAsia="zh-CN"/>
        </w:rPr>
        <w:t>1016-1</w:t>
      </w:r>
      <w:r>
        <w:rPr>
          <w:rFonts w:hint="eastAsia" w:ascii="宋体" w:hAnsi="宋体" w:eastAsia="宋体" w:cs="宋体"/>
          <w:bCs/>
          <w:sz w:val="24"/>
          <w:szCs w:val="24"/>
          <w:lang w:val="en-US" w:eastAsia="zh-CN"/>
        </w:rPr>
        <w:t>）在菏泽市公共资源（国有产权）交易中心公开挂牌交易，通过网络竞价方式确定受让方，本次网络竞价活动由菏泽市兴菏国有产权交易有限责任公司（以下简称“兴菏公司”）组织实施。</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三、转让标的：</w:t>
      </w:r>
    </w:p>
    <w:p>
      <w:pPr>
        <w:spacing w:line="400" w:lineRule="exact"/>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航站楼内7处广告位 租期一年：</w:t>
      </w:r>
    </w:p>
    <w:tbl>
      <w:tblPr>
        <w:tblStyle w:val="5"/>
        <w:tblW w:w="8242" w:type="dxa"/>
        <w:tblInd w:w="-20" w:type="dxa"/>
        <w:shd w:val="clear" w:color="auto" w:fill="auto"/>
        <w:tblLayout w:type="fixed"/>
        <w:tblCellMar>
          <w:top w:w="0" w:type="dxa"/>
          <w:left w:w="0" w:type="dxa"/>
          <w:bottom w:w="0" w:type="dxa"/>
          <w:right w:w="0" w:type="dxa"/>
        </w:tblCellMar>
      </w:tblPr>
      <w:tblGrid>
        <w:gridCol w:w="1249"/>
        <w:gridCol w:w="2089"/>
        <w:gridCol w:w="2179"/>
        <w:gridCol w:w="1087"/>
        <w:gridCol w:w="1638"/>
      </w:tblGrid>
      <w:tr>
        <w:tblPrEx>
          <w:tblCellMar>
            <w:top w:w="0" w:type="dxa"/>
            <w:left w:w="0" w:type="dxa"/>
            <w:bottom w:w="0" w:type="dxa"/>
            <w:right w:w="0" w:type="dxa"/>
          </w:tblCellMar>
        </w:tblPrEx>
        <w:trPr>
          <w:trHeight w:val="400"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广告位置</w:t>
            </w:r>
          </w:p>
        </w:tc>
        <w:tc>
          <w:tcPr>
            <w:tcW w:w="2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广告位尺寸（m）</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面积㎡</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价格（元）</w:t>
            </w:r>
          </w:p>
        </w:tc>
      </w:tr>
      <w:tr>
        <w:tblPrEx>
          <w:shd w:val="clear" w:color="auto" w:fill="auto"/>
          <w:tblCellMar>
            <w:top w:w="0" w:type="dxa"/>
            <w:left w:w="0" w:type="dxa"/>
            <w:bottom w:w="0" w:type="dxa"/>
            <w:right w:w="0" w:type="dxa"/>
          </w:tblCellMar>
        </w:tblPrEx>
        <w:trPr>
          <w:trHeight w:val="400"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标的1</w:t>
            </w: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航站楼出口处</w:t>
            </w:r>
            <w:r>
              <w:rPr>
                <w:rFonts w:hint="eastAsia" w:ascii="宋体" w:hAnsi="宋体" w:cs="宋体"/>
                <w:i w:val="0"/>
                <w:color w:val="000000"/>
                <w:kern w:val="0"/>
                <w:sz w:val="22"/>
                <w:szCs w:val="22"/>
                <w:u w:val="none"/>
                <w:lang w:val="en-US" w:eastAsia="zh-CN" w:bidi="ar"/>
              </w:rPr>
              <w:t>（西南）</w:t>
            </w:r>
          </w:p>
        </w:tc>
        <w:tc>
          <w:tcPr>
            <w:tcW w:w="2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3.25*2.4</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144000</w:t>
            </w:r>
          </w:p>
        </w:tc>
      </w:tr>
      <w:tr>
        <w:tblPrEx>
          <w:tblCellMar>
            <w:top w:w="0" w:type="dxa"/>
            <w:left w:w="0" w:type="dxa"/>
            <w:bottom w:w="0" w:type="dxa"/>
            <w:right w:w="0" w:type="dxa"/>
          </w:tblCellMar>
        </w:tblPrEx>
        <w:trPr>
          <w:trHeight w:val="400"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标的2</w:t>
            </w: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航站楼出口处</w:t>
            </w:r>
            <w:r>
              <w:rPr>
                <w:rFonts w:hint="eastAsia" w:ascii="宋体" w:hAnsi="宋体" w:cs="宋体"/>
                <w:i w:val="0"/>
                <w:color w:val="000000"/>
                <w:kern w:val="0"/>
                <w:sz w:val="22"/>
                <w:szCs w:val="22"/>
                <w:u w:val="none"/>
                <w:lang w:val="en-US" w:eastAsia="zh-CN" w:bidi="ar"/>
              </w:rPr>
              <w:t>（东南）</w:t>
            </w:r>
          </w:p>
        </w:tc>
        <w:tc>
          <w:tcPr>
            <w:tcW w:w="2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3.25*2.4</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144000</w:t>
            </w:r>
          </w:p>
        </w:tc>
      </w:tr>
      <w:tr>
        <w:tblPrEx>
          <w:shd w:val="clear" w:color="auto" w:fill="auto"/>
          <w:tblCellMar>
            <w:top w:w="0" w:type="dxa"/>
            <w:left w:w="0" w:type="dxa"/>
            <w:bottom w:w="0" w:type="dxa"/>
            <w:right w:w="0" w:type="dxa"/>
          </w:tblCellMar>
        </w:tblPrEx>
        <w:trPr>
          <w:trHeight w:val="400"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标的3</w:t>
            </w: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航站楼出口处</w:t>
            </w:r>
            <w:r>
              <w:rPr>
                <w:rFonts w:hint="eastAsia" w:ascii="宋体" w:hAnsi="宋体" w:cs="宋体"/>
                <w:i w:val="0"/>
                <w:color w:val="000000"/>
                <w:kern w:val="0"/>
                <w:sz w:val="22"/>
                <w:szCs w:val="22"/>
                <w:u w:val="none"/>
                <w:lang w:val="en-US" w:eastAsia="zh-CN" w:bidi="ar"/>
              </w:rPr>
              <w:t>（西北）</w:t>
            </w:r>
          </w:p>
        </w:tc>
        <w:tc>
          <w:tcPr>
            <w:tcW w:w="2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3.25*2.4</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144000</w:t>
            </w:r>
          </w:p>
        </w:tc>
      </w:tr>
      <w:tr>
        <w:tblPrEx>
          <w:tblCellMar>
            <w:top w:w="0" w:type="dxa"/>
            <w:left w:w="0" w:type="dxa"/>
            <w:bottom w:w="0" w:type="dxa"/>
            <w:right w:w="0" w:type="dxa"/>
          </w:tblCellMar>
        </w:tblPrEx>
        <w:trPr>
          <w:trHeight w:val="400"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标的4</w:t>
            </w: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航站楼出口处</w:t>
            </w:r>
            <w:r>
              <w:rPr>
                <w:rFonts w:hint="eastAsia" w:ascii="宋体" w:hAnsi="宋体" w:cs="宋体"/>
                <w:i w:val="0"/>
                <w:color w:val="000000"/>
                <w:kern w:val="0"/>
                <w:sz w:val="22"/>
                <w:szCs w:val="22"/>
                <w:u w:val="none"/>
                <w:lang w:val="en-US" w:eastAsia="zh-CN" w:bidi="ar"/>
              </w:rPr>
              <w:t>（东北</w:t>
            </w:r>
            <w:bookmarkStart w:id="2" w:name="_GoBack"/>
            <w:bookmarkEnd w:id="2"/>
            <w:r>
              <w:rPr>
                <w:rFonts w:hint="eastAsia" w:ascii="宋体" w:hAnsi="宋体" w:cs="宋体"/>
                <w:i w:val="0"/>
                <w:color w:val="000000"/>
                <w:kern w:val="0"/>
                <w:sz w:val="22"/>
                <w:szCs w:val="22"/>
                <w:u w:val="none"/>
                <w:lang w:val="en-US" w:eastAsia="zh-CN" w:bidi="ar"/>
              </w:rPr>
              <w:t>）</w:t>
            </w:r>
          </w:p>
        </w:tc>
        <w:tc>
          <w:tcPr>
            <w:tcW w:w="2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3.25*2.4</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144000</w:t>
            </w:r>
          </w:p>
        </w:tc>
      </w:tr>
      <w:tr>
        <w:tblPrEx>
          <w:shd w:val="clear" w:color="auto" w:fill="auto"/>
          <w:tblCellMar>
            <w:top w:w="0" w:type="dxa"/>
            <w:left w:w="0" w:type="dxa"/>
            <w:bottom w:w="0" w:type="dxa"/>
            <w:right w:w="0" w:type="dxa"/>
          </w:tblCellMar>
        </w:tblPrEx>
        <w:trPr>
          <w:trHeight w:val="400" w:hRule="atLeast"/>
        </w:trPr>
        <w:tc>
          <w:tcPr>
            <w:tcW w:w="12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标的</w:t>
            </w:r>
            <w:r>
              <w:rPr>
                <w:rFonts w:hint="eastAsia" w:ascii="宋体" w:hAnsi="宋体" w:cs="宋体"/>
                <w:i w:val="0"/>
                <w:color w:val="000000"/>
                <w:kern w:val="0"/>
                <w:sz w:val="22"/>
                <w:szCs w:val="22"/>
                <w:u w:val="none"/>
                <w:lang w:val="en-US" w:eastAsia="zh-CN" w:bidi="ar"/>
              </w:rPr>
              <w:t>5</w:t>
            </w:r>
          </w:p>
        </w:tc>
        <w:tc>
          <w:tcPr>
            <w:tcW w:w="20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行李取件处（南）</w:t>
            </w:r>
          </w:p>
        </w:tc>
        <w:tc>
          <w:tcPr>
            <w:tcW w:w="2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3.86*1.87</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w:t>
            </w:r>
          </w:p>
        </w:tc>
        <w:tc>
          <w:tcPr>
            <w:tcW w:w="1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108000</w:t>
            </w:r>
          </w:p>
        </w:tc>
      </w:tr>
    </w:tbl>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参考《资产评估报告书》鲁中慧评字（2021）第26号</w:t>
      </w:r>
      <w:r>
        <w:rPr>
          <w:rFonts w:hint="eastAsia" w:ascii="宋体" w:hAnsi="宋体" w:cs="宋体"/>
          <w:bCs/>
          <w:sz w:val="24"/>
          <w:szCs w:val="24"/>
          <w:lang w:val="en-US" w:eastAsia="zh-CN"/>
        </w:rPr>
        <w:t>，</w:t>
      </w:r>
      <w:r>
        <w:rPr>
          <w:rFonts w:hint="eastAsia" w:ascii="宋体" w:hAnsi="宋体" w:eastAsia="宋体" w:cs="宋体"/>
          <w:bCs/>
          <w:sz w:val="24"/>
          <w:szCs w:val="24"/>
          <w:lang w:val="en-US" w:eastAsia="zh-CN"/>
        </w:rPr>
        <w:t xml:space="preserve">转让标的以现场实物为准。             </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bCs/>
          <w:sz w:val="24"/>
          <w:szCs w:val="24"/>
          <w:lang w:val="en-US" w:eastAsia="zh-CN"/>
        </w:rPr>
        <w:t>四</w:t>
      </w:r>
      <w:r>
        <w:rPr>
          <w:rFonts w:hint="eastAsia" w:ascii="宋体" w:hAnsi="宋体" w:eastAsia="宋体" w:cs="宋体"/>
          <w:color w:val="000000"/>
          <w:kern w:val="0"/>
          <w:sz w:val="24"/>
          <w:szCs w:val="24"/>
          <w:lang w:val="en-US" w:eastAsia="zh-CN"/>
        </w:rPr>
        <w:t>、意向受让方应</w:t>
      </w:r>
      <w:r>
        <w:rPr>
          <w:rFonts w:hint="eastAsia" w:ascii="宋体" w:hAnsi="宋体" w:eastAsia="宋体" w:cs="宋体"/>
          <w:color w:val="000000"/>
          <w:kern w:val="0"/>
          <w:sz w:val="24"/>
          <w:szCs w:val="24"/>
        </w:rPr>
        <w:t>在</w:t>
      </w:r>
      <w:r>
        <w:rPr>
          <w:rFonts w:hint="eastAsia" w:ascii="宋体" w:hAnsi="宋体" w:eastAsia="宋体" w:cs="宋体"/>
          <w:color w:val="000000"/>
          <w:kern w:val="0"/>
          <w:sz w:val="24"/>
          <w:szCs w:val="24"/>
          <w:u w:val="none"/>
          <w:lang w:val="en-US" w:eastAsia="zh-CN"/>
        </w:rPr>
        <w:t>202</w:t>
      </w:r>
      <w:r>
        <w:rPr>
          <w:rFonts w:hint="eastAsia" w:ascii="宋体" w:hAnsi="宋体" w:cs="宋体"/>
          <w:color w:val="000000"/>
          <w:kern w:val="0"/>
          <w:sz w:val="24"/>
          <w:szCs w:val="24"/>
          <w:u w:val="none"/>
          <w:lang w:val="en-US" w:eastAsia="zh-CN"/>
        </w:rPr>
        <w:t>1</w:t>
      </w:r>
      <w:r>
        <w:rPr>
          <w:rFonts w:hint="eastAsia" w:ascii="宋体" w:hAnsi="宋体" w:eastAsia="宋体" w:cs="宋体"/>
          <w:color w:val="000000"/>
          <w:kern w:val="0"/>
          <w:sz w:val="24"/>
          <w:szCs w:val="24"/>
          <w:u w:val="none"/>
        </w:rPr>
        <w:t>年</w:t>
      </w:r>
      <w:r>
        <w:rPr>
          <w:rFonts w:hint="eastAsia" w:ascii="宋体" w:hAnsi="宋体" w:cs="宋体"/>
          <w:color w:val="000000"/>
          <w:kern w:val="0"/>
          <w:sz w:val="24"/>
          <w:szCs w:val="24"/>
          <w:u w:val="none"/>
          <w:lang w:val="en-US" w:eastAsia="zh-CN"/>
        </w:rPr>
        <w:t>4</w:t>
      </w:r>
      <w:r>
        <w:rPr>
          <w:rFonts w:hint="eastAsia" w:ascii="宋体" w:hAnsi="宋体" w:eastAsia="宋体" w:cs="宋体"/>
          <w:color w:val="000000"/>
          <w:kern w:val="0"/>
          <w:sz w:val="24"/>
          <w:szCs w:val="24"/>
          <w:u w:val="none"/>
        </w:rPr>
        <w:t>月</w:t>
      </w:r>
      <w:r>
        <w:rPr>
          <w:rFonts w:hint="eastAsia" w:ascii="宋体" w:hAnsi="宋体" w:cs="宋体"/>
          <w:color w:val="000000"/>
          <w:kern w:val="0"/>
          <w:sz w:val="24"/>
          <w:szCs w:val="24"/>
          <w:u w:val="none"/>
          <w:lang w:val="en-US" w:eastAsia="zh-CN"/>
        </w:rPr>
        <w:t>7</w:t>
      </w:r>
      <w:r>
        <w:rPr>
          <w:rFonts w:hint="eastAsia" w:ascii="宋体" w:hAnsi="宋体" w:eastAsia="宋体" w:cs="宋体"/>
          <w:color w:val="000000"/>
          <w:kern w:val="0"/>
          <w:sz w:val="24"/>
          <w:szCs w:val="24"/>
          <w:u w:val="none"/>
        </w:rPr>
        <w:t>日</w:t>
      </w:r>
      <w:r>
        <w:rPr>
          <w:rFonts w:hint="eastAsia" w:ascii="宋体" w:hAnsi="宋体" w:eastAsia="宋体" w:cs="宋体"/>
          <w:color w:val="000000"/>
          <w:kern w:val="0"/>
          <w:sz w:val="24"/>
          <w:szCs w:val="24"/>
          <w:u w:val="none"/>
          <w:lang w:val="en-US" w:eastAsia="zh-CN"/>
        </w:rPr>
        <w:t>下午1</w:t>
      </w:r>
      <w:r>
        <w:rPr>
          <w:rFonts w:hint="eastAsia" w:ascii="宋体" w:hAnsi="宋体" w:cs="宋体"/>
          <w:color w:val="000000"/>
          <w:kern w:val="0"/>
          <w:sz w:val="24"/>
          <w:szCs w:val="24"/>
          <w:u w:val="none"/>
          <w:lang w:val="en-US" w:eastAsia="zh-CN"/>
        </w:rPr>
        <w:t>7</w:t>
      </w:r>
      <w:r>
        <w:rPr>
          <w:rFonts w:hint="eastAsia" w:ascii="宋体" w:hAnsi="宋体" w:eastAsia="宋体" w:cs="宋体"/>
          <w:color w:val="000000"/>
          <w:kern w:val="0"/>
          <w:sz w:val="24"/>
          <w:szCs w:val="24"/>
          <w:u w:val="none"/>
          <w:lang w:val="en-US" w:eastAsia="zh-CN"/>
        </w:rPr>
        <w:t>:</w:t>
      </w:r>
      <w:r>
        <w:rPr>
          <w:rFonts w:hint="eastAsia" w:ascii="宋体" w:hAnsi="宋体" w:cs="宋体"/>
          <w:color w:val="000000"/>
          <w:kern w:val="0"/>
          <w:sz w:val="24"/>
          <w:szCs w:val="24"/>
          <w:u w:val="none"/>
          <w:lang w:val="en-US" w:eastAsia="zh-CN"/>
        </w:rPr>
        <w:t>0</w:t>
      </w:r>
      <w:r>
        <w:rPr>
          <w:rFonts w:hint="eastAsia" w:ascii="宋体" w:hAnsi="宋体" w:eastAsia="宋体" w:cs="宋体"/>
          <w:color w:val="000000"/>
          <w:kern w:val="0"/>
          <w:sz w:val="24"/>
          <w:szCs w:val="24"/>
          <w:u w:val="none"/>
          <w:lang w:val="en-US" w:eastAsia="zh-CN"/>
        </w:rPr>
        <w:t>0</w:t>
      </w:r>
      <w:r>
        <w:rPr>
          <w:rFonts w:hint="eastAsia" w:ascii="宋体" w:hAnsi="宋体" w:eastAsia="宋体" w:cs="宋体"/>
          <w:color w:val="000000"/>
          <w:kern w:val="0"/>
          <w:sz w:val="24"/>
          <w:szCs w:val="24"/>
        </w:rPr>
        <w:t>前，向</w:t>
      </w:r>
      <w:r>
        <w:rPr>
          <w:rFonts w:hint="eastAsia" w:ascii="宋体" w:hAnsi="宋体" w:eastAsia="宋体" w:cs="宋体"/>
          <w:color w:val="000000"/>
          <w:kern w:val="0"/>
          <w:sz w:val="24"/>
          <w:szCs w:val="24"/>
          <w:lang w:val="en-US" w:eastAsia="zh-CN"/>
        </w:rPr>
        <w:t>兴菏公司</w:t>
      </w:r>
      <w:r>
        <w:rPr>
          <w:rFonts w:hint="eastAsia" w:ascii="宋体" w:hAnsi="宋体" w:eastAsia="宋体" w:cs="宋体"/>
          <w:color w:val="000000"/>
          <w:kern w:val="0"/>
          <w:sz w:val="24"/>
          <w:szCs w:val="24"/>
        </w:rPr>
        <w:t>指定账户（户名：菏泽市兴菏国有产权交易有限责任公司；开户行：菏泽农村商业银行岳程支行：</w:t>
      </w:r>
      <w:r>
        <w:rPr>
          <w:rFonts w:hint="eastAsia" w:ascii="宋体" w:hAnsi="宋体" w:cs="宋体"/>
          <w:color w:val="000000"/>
          <w:kern w:val="0"/>
          <w:sz w:val="24"/>
          <w:szCs w:val="24"/>
          <w:lang w:val="en-US" w:eastAsia="zh-CN"/>
        </w:rPr>
        <w:t>账</w:t>
      </w:r>
      <w:r>
        <w:rPr>
          <w:rFonts w:hint="eastAsia" w:ascii="宋体" w:hAnsi="宋体" w:eastAsia="宋体" w:cs="宋体"/>
          <w:color w:val="000000"/>
          <w:kern w:val="0"/>
          <w:sz w:val="24"/>
          <w:szCs w:val="24"/>
        </w:rPr>
        <w:t>户：3040 0611 2420 5000 0103 34）交纳本次交易活动的</w:t>
      </w:r>
      <w:r>
        <w:rPr>
          <w:rFonts w:hint="eastAsia" w:ascii="宋体" w:hAnsi="宋体" w:cs="宋体"/>
          <w:color w:val="000000"/>
          <w:kern w:val="0"/>
          <w:sz w:val="24"/>
          <w:szCs w:val="24"/>
          <w:lang w:val="en-US" w:eastAsia="zh-CN"/>
        </w:rPr>
        <w:t>交易保证金1</w:t>
      </w:r>
      <w:r>
        <w:rPr>
          <w:rFonts w:hint="eastAsia" w:ascii="宋体" w:hAnsi="宋体" w:eastAsia="宋体" w:cs="宋体"/>
          <w:color w:val="000000"/>
          <w:kern w:val="0"/>
          <w:sz w:val="24"/>
          <w:szCs w:val="24"/>
        </w:rPr>
        <w:t>万元</w:t>
      </w:r>
      <w:r>
        <w:rPr>
          <w:rFonts w:hint="eastAsia" w:ascii="宋体" w:hAnsi="宋体" w:cs="宋体"/>
          <w:color w:val="000000"/>
          <w:kern w:val="0"/>
          <w:sz w:val="24"/>
          <w:szCs w:val="24"/>
          <w:lang w:val="en-US" w:eastAsia="zh-CN"/>
        </w:rPr>
        <w:t>/标的</w:t>
      </w:r>
      <w:r>
        <w:rPr>
          <w:rFonts w:hint="eastAsia" w:ascii="宋体" w:hAnsi="宋体" w:eastAsia="宋体" w:cs="宋体"/>
          <w:color w:val="000000"/>
          <w:kern w:val="0"/>
          <w:sz w:val="24"/>
          <w:szCs w:val="24"/>
        </w:rPr>
        <w:t>，签署并提交本次交易活动的</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交易规则</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《网络竞价承诺</w:t>
      </w:r>
      <w:r>
        <w:rPr>
          <w:rFonts w:hint="eastAsia" w:ascii="宋体" w:hAnsi="宋体" w:eastAsia="宋体" w:cs="宋体"/>
          <w:color w:val="000000"/>
          <w:kern w:val="0"/>
          <w:sz w:val="24"/>
          <w:szCs w:val="24"/>
          <w:lang w:val="en-US" w:eastAsia="zh-CN"/>
        </w:rPr>
        <w:t>函</w:t>
      </w:r>
      <w:r>
        <w:rPr>
          <w:rFonts w:hint="eastAsia" w:ascii="宋体" w:hAnsi="宋体" w:eastAsia="宋体" w:cs="宋体"/>
          <w:color w:val="000000"/>
          <w:kern w:val="0"/>
          <w:sz w:val="24"/>
          <w:szCs w:val="24"/>
        </w:rPr>
        <w:t>》等竞买文件，取得竞买资格，并获得网络竞价系统的有效用户名及密码。</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五、</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应于网络竞价活动开始前，登录</w:t>
      </w:r>
      <w:r>
        <w:rPr>
          <w:rFonts w:hint="eastAsia" w:ascii="宋体" w:hAnsi="宋体" w:eastAsia="宋体" w:cs="宋体"/>
          <w:color w:val="000000"/>
          <w:kern w:val="0"/>
          <w:sz w:val="24"/>
          <w:szCs w:val="24"/>
          <w:lang w:val="en-US" w:eastAsia="zh-CN"/>
        </w:rPr>
        <w:t>网络竞价系统</w:t>
      </w:r>
      <w:r>
        <w:rPr>
          <w:rFonts w:hint="eastAsia" w:ascii="宋体" w:hAnsi="宋体" w:eastAsia="宋体" w:cs="宋体"/>
          <w:bCs/>
          <w:sz w:val="24"/>
          <w:szCs w:val="24"/>
          <w:lang w:val="en-US" w:eastAsia="zh-CN"/>
        </w:rPr>
        <w:t>（http://gycq.hz.bitbid.cn/）</w:t>
      </w:r>
      <w:r>
        <w:rPr>
          <w:rFonts w:hint="eastAsia" w:ascii="宋体" w:hAnsi="宋体" w:eastAsia="宋体" w:cs="宋体"/>
          <w:color w:val="000000"/>
          <w:kern w:val="0"/>
          <w:sz w:val="24"/>
          <w:szCs w:val="24"/>
        </w:rPr>
        <w:t>了解并掌握相关操作规程</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根据《国有产权交易网络竞价系统</w:t>
      </w:r>
      <w:r>
        <w:rPr>
          <w:rFonts w:hint="eastAsia" w:ascii="宋体" w:hAnsi="宋体" w:cs="宋体"/>
          <w:color w:val="000000"/>
          <w:kern w:val="0"/>
          <w:sz w:val="24"/>
          <w:szCs w:val="24"/>
          <w:lang w:val="en-US" w:eastAsia="zh-CN"/>
        </w:rPr>
        <w:t>受让方</w:t>
      </w:r>
      <w:r>
        <w:rPr>
          <w:rFonts w:hint="eastAsia" w:ascii="宋体" w:hAnsi="宋体" w:eastAsia="宋体" w:cs="宋体"/>
          <w:color w:val="000000"/>
          <w:kern w:val="0"/>
          <w:sz w:val="24"/>
          <w:szCs w:val="24"/>
          <w:lang w:val="en-US" w:eastAsia="zh-CN"/>
        </w:rPr>
        <w:t>操作手册》进行注册</w:t>
      </w:r>
      <w:r>
        <w:rPr>
          <w:rFonts w:hint="eastAsia" w:ascii="宋体" w:hAnsi="宋体" w:eastAsia="宋体" w:cs="宋体"/>
          <w:color w:val="000000"/>
          <w:kern w:val="0"/>
          <w:sz w:val="24"/>
          <w:szCs w:val="24"/>
        </w:rPr>
        <w:t>。</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color w:val="000000"/>
          <w:kern w:val="0"/>
          <w:sz w:val="24"/>
          <w:szCs w:val="24"/>
          <w:lang w:val="en-US" w:eastAsia="zh-CN"/>
        </w:rPr>
        <w:t>六</w:t>
      </w:r>
      <w:r>
        <w:rPr>
          <w:rFonts w:hint="eastAsia" w:ascii="宋体" w:hAnsi="宋体" w:eastAsia="宋体" w:cs="宋体"/>
          <w:color w:val="000000"/>
          <w:kern w:val="0"/>
          <w:sz w:val="24"/>
          <w:szCs w:val="24"/>
        </w:rPr>
        <w:t>、本次网络竞价活动按转让标的现状进行竞价。</w:t>
      </w:r>
      <w:r>
        <w:rPr>
          <w:rFonts w:hint="eastAsia" w:ascii="宋体" w:hAnsi="宋体" w:eastAsia="宋体" w:cs="宋体"/>
          <w:color w:val="000000"/>
          <w:kern w:val="0"/>
          <w:sz w:val="24"/>
          <w:szCs w:val="24"/>
          <w:lang w:val="en-US" w:eastAsia="zh-CN"/>
        </w:rPr>
        <w:t>兴菏公司</w:t>
      </w:r>
      <w:r>
        <w:rPr>
          <w:rFonts w:hint="eastAsia" w:ascii="宋体" w:hAnsi="宋体" w:eastAsia="宋体" w:cs="宋体"/>
          <w:color w:val="000000"/>
          <w:kern w:val="0"/>
          <w:sz w:val="24"/>
          <w:szCs w:val="24"/>
        </w:rPr>
        <w:t>披露的标的信息仅供</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参考，不对标的质量和使用性能做任何担保。</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七</w:t>
      </w:r>
      <w:r>
        <w:rPr>
          <w:rFonts w:hint="eastAsia" w:ascii="宋体" w:hAnsi="宋体" w:eastAsia="宋体" w:cs="宋体"/>
          <w:color w:val="000000"/>
          <w:kern w:val="0"/>
          <w:sz w:val="24"/>
          <w:szCs w:val="24"/>
        </w:rPr>
        <w:t>、</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应对其竞买行为负责，且网络竞价成交后不得以不了解网络竞价方式或不了解所竞得标的为由予以反悔。</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黑体" w:hAnsi="黑体" w:eastAsia="黑体" w:cs="黑体"/>
          <w:b/>
          <w:bCs/>
          <w:color w:val="000000"/>
          <w:kern w:val="0"/>
          <w:sz w:val="24"/>
          <w:szCs w:val="24"/>
          <w:highlight w:val="yellow"/>
          <w:u w:val="none"/>
        </w:rPr>
      </w:pPr>
      <w:r>
        <w:rPr>
          <w:rFonts w:hint="eastAsia" w:ascii="黑体" w:hAnsi="黑体" w:eastAsia="黑体" w:cs="黑体"/>
          <w:color w:val="000000"/>
          <w:kern w:val="0"/>
          <w:sz w:val="24"/>
          <w:szCs w:val="24"/>
          <w:lang w:val="en-US" w:eastAsia="zh-CN"/>
        </w:rPr>
        <w:t>八</w:t>
      </w:r>
      <w:r>
        <w:rPr>
          <w:rFonts w:hint="eastAsia" w:ascii="黑体" w:hAnsi="黑体" w:eastAsia="黑体" w:cs="黑体"/>
          <w:color w:val="000000"/>
          <w:kern w:val="0"/>
          <w:sz w:val="24"/>
          <w:szCs w:val="24"/>
        </w:rPr>
        <w:t>、</w:t>
      </w:r>
      <w:r>
        <w:rPr>
          <w:rFonts w:hint="eastAsia" w:ascii="黑体" w:hAnsi="黑体" w:eastAsia="黑体" w:cs="黑体"/>
          <w:b/>
          <w:bCs/>
          <w:color w:val="000000"/>
          <w:sz w:val="24"/>
          <w:szCs w:val="24"/>
        </w:rPr>
        <w:t>本次交易采用网络竞价方式组织交易</w:t>
      </w:r>
      <w:r>
        <w:rPr>
          <w:rFonts w:hint="eastAsia" w:ascii="黑体" w:hAnsi="黑体" w:eastAsia="黑体" w:cs="黑体"/>
          <w:b/>
          <w:bCs/>
          <w:sz w:val="24"/>
          <w:szCs w:val="24"/>
          <w:u w:val="none"/>
        </w:rPr>
        <w:t>。</w:t>
      </w:r>
      <w:r>
        <w:rPr>
          <w:rFonts w:hint="eastAsia" w:ascii="黑体" w:hAnsi="黑体" w:eastAsia="黑体" w:cs="黑体"/>
          <w:b/>
          <w:bCs/>
          <w:color w:val="000000"/>
          <w:sz w:val="24"/>
          <w:szCs w:val="24"/>
          <w:u w:val="none"/>
        </w:rPr>
        <w:t>本次交易</w:t>
      </w:r>
      <w:r>
        <w:rPr>
          <w:rFonts w:hint="eastAsia" w:ascii="黑体" w:hAnsi="黑体" w:eastAsia="黑体" w:cs="黑体"/>
          <w:b/>
          <w:bCs/>
          <w:color w:val="000000"/>
          <w:kern w:val="0"/>
          <w:sz w:val="24"/>
          <w:szCs w:val="24"/>
          <w:u w:val="none"/>
          <w:lang w:val="en-US" w:eastAsia="zh-CN"/>
        </w:rPr>
        <w:t>网络竞价</w:t>
      </w:r>
      <w:r>
        <w:rPr>
          <w:rFonts w:hint="eastAsia" w:ascii="黑体" w:hAnsi="黑体" w:eastAsia="黑体" w:cs="黑体"/>
          <w:b/>
          <w:bCs/>
          <w:color w:val="000000"/>
          <w:kern w:val="0"/>
          <w:sz w:val="24"/>
          <w:szCs w:val="24"/>
          <w:u w:val="none"/>
        </w:rPr>
        <w:t>由</w:t>
      </w:r>
      <w:r>
        <w:rPr>
          <w:rFonts w:hint="eastAsia" w:ascii="黑体" w:hAnsi="黑体" w:eastAsia="黑体" w:cs="黑体"/>
          <w:b/>
          <w:bCs/>
          <w:color w:val="000000"/>
          <w:kern w:val="0"/>
          <w:sz w:val="24"/>
          <w:szCs w:val="24"/>
          <w:u w:val="none"/>
          <w:lang w:val="en-US" w:eastAsia="zh-CN"/>
        </w:rPr>
        <w:t>自由竞价周期</w:t>
      </w:r>
      <w:r>
        <w:rPr>
          <w:rFonts w:hint="eastAsia" w:ascii="黑体" w:hAnsi="黑体" w:eastAsia="黑体" w:cs="黑体"/>
          <w:b/>
          <w:bCs/>
          <w:color w:val="000000"/>
          <w:kern w:val="0"/>
          <w:sz w:val="24"/>
          <w:szCs w:val="24"/>
          <w:u w:val="none"/>
        </w:rPr>
        <w:t>和</w:t>
      </w:r>
      <w:r>
        <w:rPr>
          <w:rFonts w:hint="eastAsia" w:ascii="黑体" w:hAnsi="黑体" w:eastAsia="黑体" w:cs="黑体"/>
          <w:b/>
          <w:bCs/>
          <w:color w:val="000000"/>
          <w:kern w:val="0"/>
          <w:sz w:val="24"/>
          <w:szCs w:val="24"/>
          <w:u w:val="none"/>
          <w:lang w:val="en-US" w:eastAsia="zh-CN"/>
        </w:rPr>
        <w:t>限时竞价周期</w:t>
      </w:r>
      <w:r>
        <w:rPr>
          <w:rFonts w:hint="eastAsia" w:ascii="黑体" w:hAnsi="黑体" w:eastAsia="黑体" w:cs="黑体"/>
          <w:b/>
          <w:bCs/>
          <w:color w:val="000000"/>
          <w:kern w:val="0"/>
          <w:sz w:val="24"/>
          <w:szCs w:val="24"/>
          <w:u w:val="none"/>
        </w:rPr>
        <w:t>组成。</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黑体" w:hAnsi="黑体" w:eastAsia="黑体" w:cs="黑体"/>
          <w:b/>
          <w:bCs/>
          <w:color w:val="000000"/>
          <w:kern w:val="0"/>
          <w:sz w:val="24"/>
          <w:szCs w:val="24"/>
          <w:u w:val="none"/>
        </w:rPr>
      </w:pPr>
      <w:r>
        <w:rPr>
          <w:rFonts w:hint="eastAsia" w:ascii="黑体" w:hAnsi="黑体" w:eastAsia="黑体" w:cs="黑体"/>
          <w:b/>
          <w:bCs/>
          <w:color w:val="000000"/>
          <w:kern w:val="0"/>
          <w:sz w:val="24"/>
          <w:szCs w:val="24"/>
          <w:u w:val="none"/>
        </w:rPr>
        <w:t>1、自由竞价</w:t>
      </w:r>
      <w:r>
        <w:rPr>
          <w:rFonts w:hint="eastAsia" w:ascii="黑体" w:hAnsi="黑体" w:eastAsia="黑体" w:cs="黑体"/>
          <w:b/>
          <w:bCs/>
          <w:color w:val="000000"/>
          <w:kern w:val="0"/>
          <w:sz w:val="24"/>
          <w:szCs w:val="24"/>
          <w:u w:val="none"/>
          <w:lang w:val="en-US" w:eastAsia="zh-CN"/>
        </w:rPr>
        <w:t>时长10分钟（即300秒），自由竞价起止</w:t>
      </w:r>
      <w:r>
        <w:rPr>
          <w:rFonts w:hint="eastAsia" w:ascii="黑体" w:hAnsi="黑体" w:eastAsia="黑体" w:cs="黑体"/>
          <w:b/>
          <w:bCs/>
          <w:color w:val="000000"/>
          <w:kern w:val="0"/>
          <w:sz w:val="24"/>
          <w:szCs w:val="24"/>
          <w:u w:val="none"/>
        </w:rPr>
        <w:t>时间</w:t>
      </w:r>
      <w:r>
        <w:rPr>
          <w:rFonts w:hint="eastAsia" w:ascii="黑体" w:hAnsi="黑体" w:eastAsia="黑体" w:cs="黑体"/>
          <w:b/>
          <w:bCs/>
          <w:color w:val="000000"/>
          <w:kern w:val="0"/>
          <w:sz w:val="24"/>
          <w:szCs w:val="24"/>
          <w:u w:val="none"/>
          <w:lang w:val="en-US" w:eastAsia="zh-CN"/>
        </w:rPr>
        <w:t>为</w:t>
      </w:r>
      <w:r>
        <w:rPr>
          <w:rFonts w:hint="eastAsia" w:ascii="黑体" w:hAnsi="黑体" w:eastAsia="黑体" w:cs="黑体"/>
          <w:b/>
          <w:bCs/>
          <w:color w:val="000000"/>
          <w:kern w:val="0"/>
          <w:sz w:val="24"/>
          <w:szCs w:val="24"/>
          <w:u w:val="none"/>
        </w:rPr>
        <w:t>202</w:t>
      </w:r>
      <w:r>
        <w:rPr>
          <w:rFonts w:hint="eastAsia" w:ascii="黑体" w:hAnsi="黑体" w:eastAsia="黑体" w:cs="黑体"/>
          <w:b/>
          <w:bCs/>
          <w:color w:val="000000"/>
          <w:kern w:val="0"/>
          <w:sz w:val="24"/>
          <w:szCs w:val="24"/>
          <w:u w:val="none"/>
          <w:lang w:val="en-US" w:eastAsia="zh-CN"/>
        </w:rPr>
        <w:t>1</w:t>
      </w:r>
      <w:r>
        <w:rPr>
          <w:rFonts w:hint="eastAsia" w:ascii="黑体" w:hAnsi="黑体" w:eastAsia="黑体" w:cs="黑体"/>
          <w:b/>
          <w:bCs/>
          <w:color w:val="000000"/>
          <w:kern w:val="0"/>
          <w:sz w:val="24"/>
          <w:szCs w:val="24"/>
          <w:u w:val="none"/>
        </w:rPr>
        <w:t>年</w:t>
      </w:r>
      <w:r>
        <w:rPr>
          <w:rFonts w:hint="eastAsia" w:ascii="黑体" w:hAnsi="黑体" w:eastAsia="黑体" w:cs="黑体"/>
          <w:b/>
          <w:bCs/>
          <w:color w:val="000000"/>
          <w:kern w:val="0"/>
          <w:sz w:val="24"/>
          <w:szCs w:val="24"/>
          <w:u w:val="none"/>
          <w:lang w:val="en-US" w:eastAsia="zh-CN"/>
        </w:rPr>
        <w:t>4</w:t>
      </w:r>
      <w:r>
        <w:rPr>
          <w:rFonts w:hint="eastAsia" w:ascii="黑体" w:hAnsi="黑体" w:eastAsia="黑体" w:cs="黑体"/>
          <w:b/>
          <w:bCs/>
          <w:color w:val="000000"/>
          <w:kern w:val="0"/>
          <w:sz w:val="24"/>
          <w:szCs w:val="24"/>
          <w:u w:val="none"/>
        </w:rPr>
        <w:t>月</w:t>
      </w:r>
      <w:r>
        <w:rPr>
          <w:rFonts w:hint="eastAsia" w:ascii="黑体" w:hAnsi="黑体" w:eastAsia="黑体" w:cs="黑体"/>
          <w:b/>
          <w:bCs/>
          <w:color w:val="000000"/>
          <w:kern w:val="0"/>
          <w:sz w:val="24"/>
          <w:szCs w:val="24"/>
          <w:u w:val="none"/>
          <w:lang w:val="en-US" w:eastAsia="zh-CN"/>
        </w:rPr>
        <w:t>8</w:t>
      </w:r>
      <w:r>
        <w:rPr>
          <w:rFonts w:hint="eastAsia" w:ascii="黑体" w:hAnsi="黑体" w:eastAsia="黑体" w:cs="黑体"/>
          <w:b/>
          <w:bCs/>
          <w:color w:val="000000"/>
          <w:kern w:val="0"/>
          <w:sz w:val="24"/>
          <w:szCs w:val="24"/>
          <w:u w:val="none"/>
        </w:rPr>
        <w:t>日</w:t>
      </w:r>
      <w:r>
        <w:rPr>
          <w:rFonts w:hint="eastAsia" w:ascii="黑体" w:hAnsi="黑体" w:eastAsia="黑体" w:cs="黑体"/>
          <w:b/>
          <w:bCs/>
          <w:color w:val="000000"/>
          <w:kern w:val="0"/>
          <w:sz w:val="24"/>
          <w:szCs w:val="24"/>
          <w:u w:val="none"/>
          <w:lang w:val="en-US" w:eastAsia="zh-CN"/>
        </w:rPr>
        <w:t>上</w:t>
      </w:r>
      <w:r>
        <w:rPr>
          <w:rFonts w:hint="eastAsia" w:ascii="黑体" w:hAnsi="黑体" w:eastAsia="黑体" w:cs="黑体"/>
          <w:b/>
          <w:bCs/>
          <w:color w:val="000000"/>
          <w:kern w:val="0"/>
          <w:sz w:val="24"/>
          <w:szCs w:val="24"/>
          <w:u w:val="none"/>
        </w:rPr>
        <w:t>午</w:t>
      </w:r>
      <w:r>
        <w:rPr>
          <w:rFonts w:hint="eastAsia" w:ascii="黑体" w:hAnsi="黑体" w:eastAsia="黑体" w:cs="黑体"/>
          <w:b/>
          <w:bCs/>
          <w:color w:val="000000"/>
          <w:kern w:val="0"/>
          <w:sz w:val="24"/>
          <w:szCs w:val="24"/>
          <w:u w:val="none"/>
          <w:lang w:val="en-US" w:eastAsia="zh-CN"/>
        </w:rPr>
        <w:t>9</w:t>
      </w:r>
      <w:r>
        <w:rPr>
          <w:rFonts w:hint="eastAsia" w:ascii="黑体" w:hAnsi="黑体" w:eastAsia="黑体" w:cs="黑体"/>
          <w:b/>
          <w:bCs/>
          <w:color w:val="000000"/>
          <w:kern w:val="0"/>
          <w:sz w:val="24"/>
          <w:szCs w:val="24"/>
          <w:u w:val="none"/>
        </w:rPr>
        <w:t>:30:00</w:t>
      </w:r>
      <w:r>
        <w:rPr>
          <w:rFonts w:hint="eastAsia" w:ascii="黑体" w:hAnsi="黑体" w:eastAsia="黑体" w:cs="黑体"/>
          <w:b/>
          <w:bCs/>
          <w:color w:val="000000"/>
          <w:kern w:val="0"/>
          <w:sz w:val="24"/>
          <w:szCs w:val="24"/>
          <w:u w:val="none"/>
          <w:lang w:val="en-US" w:eastAsia="zh-CN"/>
        </w:rPr>
        <w:t>至</w:t>
      </w:r>
      <w:r>
        <w:rPr>
          <w:rFonts w:hint="eastAsia" w:ascii="黑体" w:hAnsi="黑体" w:eastAsia="黑体" w:cs="黑体"/>
          <w:b/>
          <w:bCs/>
          <w:color w:val="000000"/>
          <w:kern w:val="0"/>
          <w:sz w:val="24"/>
          <w:szCs w:val="24"/>
          <w:u w:val="none"/>
        </w:rPr>
        <w:t>202</w:t>
      </w:r>
      <w:r>
        <w:rPr>
          <w:rFonts w:hint="eastAsia" w:ascii="黑体" w:hAnsi="黑体" w:eastAsia="黑体" w:cs="黑体"/>
          <w:b/>
          <w:bCs/>
          <w:color w:val="000000"/>
          <w:kern w:val="0"/>
          <w:sz w:val="24"/>
          <w:szCs w:val="24"/>
          <w:u w:val="none"/>
          <w:lang w:val="en-US" w:eastAsia="zh-CN"/>
        </w:rPr>
        <w:t>1</w:t>
      </w:r>
      <w:r>
        <w:rPr>
          <w:rFonts w:hint="eastAsia" w:ascii="黑体" w:hAnsi="黑体" w:eastAsia="黑体" w:cs="黑体"/>
          <w:b/>
          <w:bCs/>
          <w:color w:val="000000"/>
          <w:kern w:val="0"/>
          <w:sz w:val="24"/>
          <w:szCs w:val="24"/>
          <w:u w:val="none"/>
        </w:rPr>
        <w:t>年</w:t>
      </w:r>
      <w:r>
        <w:rPr>
          <w:rFonts w:hint="eastAsia" w:ascii="黑体" w:hAnsi="黑体" w:eastAsia="黑体" w:cs="黑体"/>
          <w:b/>
          <w:bCs/>
          <w:color w:val="000000"/>
          <w:kern w:val="0"/>
          <w:sz w:val="24"/>
          <w:szCs w:val="24"/>
          <w:u w:val="none"/>
          <w:lang w:val="en-US" w:eastAsia="zh-CN"/>
        </w:rPr>
        <w:t>4</w:t>
      </w:r>
      <w:r>
        <w:rPr>
          <w:rFonts w:hint="eastAsia" w:ascii="黑体" w:hAnsi="黑体" w:eastAsia="黑体" w:cs="黑体"/>
          <w:b/>
          <w:bCs/>
          <w:color w:val="000000"/>
          <w:kern w:val="0"/>
          <w:sz w:val="24"/>
          <w:szCs w:val="24"/>
          <w:u w:val="none"/>
        </w:rPr>
        <w:t>月</w:t>
      </w:r>
      <w:r>
        <w:rPr>
          <w:rFonts w:hint="eastAsia" w:ascii="黑体" w:hAnsi="黑体" w:eastAsia="黑体" w:cs="黑体"/>
          <w:b/>
          <w:bCs/>
          <w:color w:val="000000"/>
          <w:kern w:val="0"/>
          <w:sz w:val="24"/>
          <w:szCs w:val="24"/>
          <w:u w:val="none"/>
          <w:lang w:val="en-US" w:eastAsia="zh-CN"/>
        </w:rPr>
        <w:t>8</w:t>
      </w:r>
      <w:r>
        <w:rPr>
          <w:rFonts w:hint="eastAsia" w:ascii="黑体" w:hAnsi="黑体" w:eastAsia="黑体" w:cs="黑体"/>
          <w:b/>
          <w:bCs/>
          <w:color w:val="000000"/>
          <w:kern w:val="0"/>
          <w:sz w:val="24"/>
          <w:szCs w:val="24"/>
          <w:u w:val="none"/>
        </w:rPr>
        <w:t>日</w:t>
      </w:r>
      <w:r>
        <w:rPr>
          <w:rFonts w:hint="eastAsia" w:ascii="黑体" w:hAnsi="黑体" w:eastAsia="黑体" w:cs="黑体"/>
          <w:b/>
          <w:bCs/>
          <w:color w:val="000000"/>
          <w:kern w:val="0"/>
          <w:sz w:val="24"/>
          <w:szCs w:val="24"/>
          <w:u w:val="none"/>
          <w:lang w:val="en-US" w:eastAsia="zh-CN"/>
        </w:rPr>
        <w:t>上</w:t>
      </w:r>
      <w:r>
        <w:rPr>
          <w:rFonts w:hint="eastAsia" w:ascii="黑体" w:hAnsi="黑体" w:eastAsia="黑体" w:cs="黑体"/>
          <w:b/>
          <w:bCs/>
          <w:color w:val="000000"/>
          <w:kern w:val="0"/>
          <w:sz w:val="24"/>
          <w:szCs w:val="24"/>
          <w:u w:val="none"/>
        </w:rPr>
        <w:t>午</w:t>
      </w:r>
      <w:r>
        <w:rPr>
          <w:rFonts w:hint="eastAsia" w:ascii="黑体" w:hAnsi="黑体" w:eastAsia="黑体" w:cs="黑体"/>
          <w:b/>
          <w:bCs/>
          <w:color w:val="000000"/>
          <w:kern w:val="0"/>
          <w:sz w:val="24"/>
          <w:szCs w:val="24"/>
          <w:u w:val="none"/>
          <w:lang w:val="en-US" w:eastAsia="zh-CN"/>
        </w:rPr>
        <w:t>9</w:t>
      </w:r>
      <w:r>
        <w:rPr>
          <w:rFonts w:hint="eastAsia" w:ascii="黑体" w:hAnsi="黑体" w:eastAsia="黑体" w:cs="黑体"/>
          <w:b/>
          <w:bCs/>
          <w:color w:val="000000"/>
          <w:kern w:val="0"/>
          <w:sz w:val="24"/>
          <w:szCs w:val="24"/>
          <w:u w:val="none"/>
        </w:rPr>
        <w:t>:</w:t>
      </w:r>
      <w:r>
        <w:rPr>
          <w:rFonts w:hint="eastAsia" w:ascii="黑体" w:hAnsi="黑体" w:eastAsia="黑体" w:cs="黑体"/>
          <w:b/>
          <w:bCs/>
          <w:color w:val="000000"/>
          <w:kern w:val="0"/>
          <w:sz w:val="24"/>
          <w:szCs w:val="24"/>
          <w:u w:val="none"/>
          <w:lang w:val="en-US" w:eastAsia="zh-CN"/>
        </w:rPr>
        <w:t>40</w:t>
      </w:r>
      <w:r>
        <w:rPr>
          <w:rFonts w:hint="eastAsia" w:ascii="黑体" w:hAnsi="黑体" w:eastAsia="黑体" w:cs="黑体"/>
          <w:b/>
          <w:bCs/>
          <w:color w:val="000000"/>
          <w:kern w:val="0"/>
          <w:sz w:val="24"/>
          <w:szCs w:val="24"/>
          <w:u w:val="none"/>
        </w:rPr>
        <w:t>:00。在此期间，</w:t>
      </w:r>
      <w:r>
        <w:rPr>
          <w:rFonts w:hint="eastAsia" w:ascii="黑体" w:hAnsi="黑体" w:eastAsia="黑体" w:cs="黑体"/>
          <w:b/>
          <w:bCs/>
          <w:color w:val="000000"/>
          <w:kern w:val="0"/>
          <w:sz w:val="24"/>
          <w:szCs w:val="24"/>
          <w:u w:val="none"/>
          <w:lang w:eastAsia="zh-CN"/>
        </w:rPr>
        <w:t>意向受让方</w:t>
      </w:r>
      <w:r>
        <w:rPr>
          <w:rFonts w:hint="eastAsia" w:ascii="黑体" w:hAnsi="黑体" w:eastAsia="黑体" w:cs="黑体"/>
          <w:b/>
          <w:bCs/>
          <w:color w:val="000000"/>
          <w:kern w:val="0"/>
          <w:sz w:val="24"/>
          <w:szCs w:val="24"/>
          <w:u w:val="none"/>
        </w:rPr>
        <w:t>可对转让标的进行报价，各</w:t>
      </w:r>
      <w:r>
        <w:rPr>
          <w:rFonts w:hint="eastAsia" w:ascii="黑体" w:hAnsi="黑体" w:eastAsia="黑体" w:cs="黑体"/>
          <w:b/>
          <w:bCs/>
          <w:color w:val="000000"/>
          <w:kern w:val="0"/>
          <w:sz w:val="24"/>
          <w:szCs w:val="24"/>
          <w:u w:val="none"/>
          <w:lang w:eastAsia="zh-CN"/>
        </w:rPr>
        <w:t>意向受让方</w:t>
      </w:r>
      <w:r>
        <w:rPr>
          <w:rFonts w:hint="eastAsia" w:ascii="黑体" w:hAnsi="黑体" w:eastAsia="黑体" w:cs="黑体"/>
          <w:b/>
          <w:bCs/>
          <w:color w:val="000000"/>
          <w:kern w:val="0"/>
          <w:sz w:val="24"/>
          <w:szCs w:val="24"/>
          <w:u w:val="none"/>
        </w:rPr>
        <w:t xml:space="preserve">的每次有效报价随即成为当前报价。 </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u w:val="none"/>
        </w:rPr>
        <w:t xml:space="preserve"> 2、</w:t>
      </w:r>
      <w:r>
        <w:rPr>
          <w:rFonts w:hint="eastAsia" w:ascii="黑体" w:hAnsi="黑体" w:eastAsia="黑体" w:cs="黑体"/>
          <w:b/>
          <w:bCs/>
          <w:color w:val="000000"/>
          <w:kern w:val="0"/>
          <w:sz w:val="24"/>
          <w:szCs w:val="24"/>
          <w:u w:val="none"/>
          <w:lang w:val="en-US" w:eastAsia="zh-CN"/>
        </w:rPr>
        <w:t>自由竞价</w:t>
      </w:r>
      <w:r>
        <w:rPr>
          <w:rFonts w:hint="eastAsia" w:ascii="黑体" w:hAnsi="黑体" w:eastAsia="黑体" w:cs="黑体"/>
          <w:b/>
          <w:bCs/>
          <w:color w:val="000000"/>
          <w:kern w:val="0"/>
          <w:sz w:val="24"/>
          <w:szCs w:val="24"/>
          <w:u w:val="none"/>
        </w:rPr>
        <w:t>结束后立即进入</w:t>
      </w:r>
      <w:r>
        <w:rPr>
          <w:rFonts w:hint="eastAsia" w:ascii="黑体" w:hAnsi="黑体" w:eastAsia="黑体" w:cs="黑体"/>
          <w:b/>
          <w:bCs/>
          <w:color w:val="000000"/>
          <w:kern w:val="0"/>
          <w:sz w:val="24"/>
          <w:szCs w:val="24"/>
          <w:u w:val="none"/>
          <w:lang w:val="en-US" w:eastAsia="zh-CN"/>
        </w:rPr>
        <w:t>限时竞价，限时竞价</w:t>
      </w:r>
      <w:r>
        <w:rPr>
          <w:rFonts w:hint="eastAsia" w:ascii="黑体" w:hAnsi="黑体" w:eastAsia="黑体" w:cs="黑体"/>
          <w:b/>
          <w:bCs/>
          <w:kern w:val="0"/>
          <w:sz w:val="24"/>
          <w:szCs w:val="24"/>
          <w:u w:val="none"/>
          <w:lang w:val="en-US" w:eastAsia="zh-CN"/>
        </w:rPr>
        <w:t>1.5</w:t>
      </w:r>
      <w:r>
        <w:rPr>
          <w:rFonts w:hint="eastAsia" w:ascii="黑体" w:hAnsi="黑体" w:eastAsia="黑体" w:cs="黑体"/>
          <w:b/>
          <w:bCs/>
          <w:kern w:val="0"/>
          <w:sz w:val="24"/>
          <w:szCs w:val="24"/>
          <w:u w:val="none"/>
        </w:rPr>
        <w:t>分钟（即</w:t>
      </w:r>
      <w:r>
        <w:rPr>
          <w:rFonts w:hint="eastAsia" w:ascii="黑体" w:hAnsi="黑体" w:eastAsia="黑体" w:cs="黑体"/>
          <w:b/>
          <w:bCs/>
          <w:kern w:val="0"/>
          <w:sz w:val="24"/>
          <w:szCs w:val="24"/>
          <w:u w:val="none"/>
          <w:lang w:val="en-US" w:eastAsia="zh-CN"/>
        </w:rPr>
        <w:t>90</w:t>
      </w:r>
      <w:r>
        <w:rPr>
          <w:rFonts w:hint="eastAsia" w:ascii="黑体" w:hAnsi="黑体" w:eastAsia="黑体" w:cs="黑体"/>
          <w:b/>
          <w:bCs/>
          <w:kern w:val="0"/>
          <w:sz w:val="24"/>
          <w:szCs w:val="24"/>
          <w:u w:val="none"/>
        </w:rPr>
        <w:t>秒）</w:t>
      </w:r>
      <w:r>
        <w:rPr>
          <w:rFonts w:hint="eastAsia" w:ascii="黑体" w:hAnsi="黑体" w:eastAsia="黑体" w:cs="黑体"/>
          <w:b/>
          <w:bCs/>
          <w:color w:val="000000"/>
          <w:kern w:val="0"/>
          <w:sz w:val="24"/>
          <w:szCs w:val="24"/>
          <w:u w:val="none"/>
        </w:rPr>
        <w:t>。在</w:t>
      </w:r>
      <w:r>
        <w:rPr>
          <w:rFonts w:hint="eastAsia" w:ascii="黑体" w:hAnsi="黑体" w:eastAsia="黑体" w:cs="黑体"/>
          <w:b/>
          <w:bCs/>
          <w:color w:val="000000"/>
          <w:kern w:val="0"/>
          <w:sz w:val="24"/>
          <w:szCs w:val="24"/>
          <w:u w:val="none"/>
          <w:lang w:val="en-US" w:eastAsia="zh-CN"/>
        </w:rPr>
        <w:t>限时竞价周期</w:t>
      </w:r>
      <w:r>
        <w:rPr>
          <w:rFonts w:hint="eastAsia" w:ascii="黑体" w:hAnsi="黑体" w:eastAsia="黑体" w:cs="黑体"/>
          <w:b/>
          <w:bCs/>
          <w:color w:val="000000"/>
          <w:kern w:val="0"/>
          <w:sz w:val="24"/>
          <w:szCs w:val="24"/>
          <w:u w:val="none"/>
        </w:rPr>
        <w:t>内，如出现新的有效报价，</w:t>
      </w:r>
      <w:r>
        <w:rPr>
          <w:rFonts w:hint="eastAsia" w:ascii="黑体" w:hAnsi="黑体" w:eastAsia="黑体" w:cs="黑体"/>
          <w:b/>
          <w:bCs/>
          <w:color w:val="000000"/>
          <w:kern w:val="0"/>
          <w:sz w:val="24"/>
          <w:szCs w:val="24"/>
          <w:u w:val="none"/>
          <w:lang w:val="en-US" w:eastAsia="zh-CN"/>
        </w:rPr>
        <w:t>限时竞价时间刷新，重新进行90秒倒计时</w:t>
      </w:r>
      <w:r>
        <w:rPr>
          <w:rFonts w:hint="eastAsia" w:ascii="黑体" w:hAnsi="黑体" w:eastAsia="黑体" w:cs="黑体"/>
          <w:b/>
          <w:bCs/>
          <w:color w:val="000000"/>
          <w:kern w:val="0"/>
          <w:sz w:val="24"/>
          <w:szCs w:val="24"/>
          <w:u w:val="none"/>
        </w:rPr>
        <w:t>；</w:t>
      </w:r>
      <w:r>
        <w:rPr>
          <w:rFonts w:hint="eastAsia" w:ascii="黑体" w:hAnsi="黑体" w:eastAsia="黑体" w:cs="黑体"/>
          <w:b/>
          <w:bCs/>
          <w:color w:val="000000"/>
          <w:kern w:val="0"/>
          <w:sz w:val="24"/>
          <w:szCs w:val="24"/>
        </w:rPr>
        <w:t>在</w:t>
      </w:r>
      <w:r>
        <w:rPr>
          <w:rFonts w:hint="eastAsia" w:ascii="黑体" w:hAnsi="黑体" w:eastAsia="黑体" w:cs="黑体"/>
          <w:b/>
          <w:bCs/>
          <w:color w:val="000000"/>
          <w:kern w:val="0"/>
          <w:sz w:val="24"/>
          <w:szCs w:val="24"/>
          <w:lang w:val="en-US" w:eastAsia="zh-CN"/>
        </w:rPr>
        <w:t>限时竞价周期</w:t>
      </w:r>
      <w:r>
        <w:rPr>
          <w:rFonts w:hint="eastAsia" w:ascii="黑体" w:hAnsi="黑体" w:eastAsia="黑体" w:cs="黑体"/>
          <w:b/>
          <w:bCs/>
          <w:color w:val="000000"/>
          <w:kern w:val="0"/>
          <w:sz w:val="24"/>
          <w:szCs w:val="24"/>
        </w:rPr>
        <w:t>内</w:t>
      </w:r>
      <w:r>
        <w:rPr>
          <w:rFonts w:hint="eastAsia" w:ascii="黑体" w:hAnsi="黑体" w:eastAsia="黑体" w:cs="黑体"/>
          <w:b/>
          <w:bCs/>
          <w:color w:val="000000"/>
          <w:kern w:val="0"/>
          <w:sz w:val="24"/>
          <w:szCs w:val="24"/>
          <w:lang w:eastAsia="zh-CN"/>
        </w:rPr>
        <w:t>，</w:t>
      </w:r>
      <w:r>
        <w:rPr>
          <w:rFonts w:hint="eastAsia" w:ascii="黑体" w:hAnsi="黑体" w:eastAsia="黑体" w:cs="黑体"/>
          <w:b/>
          <w:bCs/>
          <w:color w:val="000000"/>
          <w:kern w:val="0"/>
          <w:sz w:val="24"/>
          <w:szCs w:val="24"/>
        </w:rPr>
        <w:t>如未出现新的有效报价，则</w:t>
      </w:r>
      <w:r>
        <w:rPr>
          <w:rFonts w:hint="eastAsia" w:ascii="黑体" w:hAnsi="黑体" w:eastAsia="黑体" w:cs="黑体"/>
          <w:b/>
          <w:bCs/>
          <w:color w:val="000000"/>
          <w:kern w:val="0"/>
          <w:sz w:val="24"/>
          <w:szCs w:val="24"/>
          <w:lang w:val="en-US" w:eastAsia="zh-CN"/>
        </w:rPr>
        <w:t>限时竞价倒计时结束最高报价为成交价，最高报价意向受让方成为受让方</w:t>
      </w:r>
      <w:r>
        <w:rPr>
          <w:rFonts w:hint="eastAsia" w:ascii="黑体" w:hAnsi="黑体" w:eastAsia="黑体" w:cs="黑体"/>
          <w:b/>
          <w:bCs/>
          <w:color w:val="000000"/>
          <w:kern w:val="0"/>
          <w:sz w:val="24"/>
          <w:szCs w:val="24"/>
        </w:rPr>
        <w:t>。</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黑体" w:hAnsi="黑体" w:eastAsia="黑体" w:cs="黑体"/>
          <w:b/>
          <w:bCs/>
          <w:color w:val="000000"/>
          <w:kern w:val="0"/>
          <w:sz w:val="24"/>
          <w:szCs w:val="24"/>
        </w:rPr>
      </w:pPr>
      <w:r>
        <w:rPr>
          <w:rFonts w:hint="eastAsia" w:ascii="黑体" w:hAnsi="黑体" w:eastAsia="黑体" w:cs="黑体"/>
          <w:b/>
          <w:bCs/>
          <w:color w:val="000000"/>
          <w:kern w:val="0"/>
          <w:sz w:val="24"/>
          <w:szCs w:val="24"/>
        </w:rPr>
        <w:t>九、网络竞价加价规则：本次网络竞价的</w:t>
      </w:r>
      <w:r>
        <w:rPr>
          <w:rFonts w:hint="eastAsia" w:ascii="黑体" w:hAnsi="黑体" w:eastAsia="黑体" w:cs="黑体"/>
          <w:b/>
          <w:bCs/>
          <w:color w:val="000000"/>
          <w:kern w:val="0"/>
          <w:sz w:val="24"/>
          <w:szCs w:val="24"/>
          <w:lang w:val="en-US" w:eastAsia="zh-CN"/>
        </w:rPr>
        <w:t>最低</w:t>
      </w:r>
      <w:r>
        <w:rPr>
          <w:rFonts w:hint="eastAsia" w:ascii="黑体" w:hAnsi="黑体" w:eastAsia="黑体" w:cs="黑体"/>
          <w:b/>
          <w:bCs/>
          <w:kern w:val="0"/>
          <w:sz w:val="24"/>
          <w:szCs w:val="24"/>
        </w:rPr>
        <w:t>加价幅度为</w:t>
      </w:r>
      <w:r>
        <w:rPr>
          <w:rFonts w:hint="eastAsia" w:ascii="黑体" w:hAnsi="黑体" w:eastAsia="黑体" w:cs="黑体"/>
          <w:b/>
          <w:bCs/>
          <w:kern w:val="0"/>
          <w:sz w:val="24"/>
          <w:szCs w:val="24"/>
          <w:lang w:val="en-US" w:eastAsia="zh-CN"/>
        </w:rPr>
        <w:t>1000</w:t>
      </w:r>
      <w:r>
        <w:rPr>
          <w:rFonts w:hint="eastAsia" w:ascii="黑体" w:hAnsi="黑体" w:eastAsia="黑体" w:cs="黑体"/>
          <w:b/>
          <w:bCs/>
          <w:kern w:val="0"/>
          <w:sz w:val="24"/>
          <w:szCs w:val="24"/>
        </w:rPr>
        <w:t>元人民</w:t>
      </w:r>
      <w:r>
        <w:rPr>
          <w:rFonts w:hint="eastAsia" w:ascii="黑体" w:hAnsi="黑体" w:eastAsia="黑体" w:cs="黑体"/>
          <w:b/>
          <w:bCs/>
          <w:color w:val="000000"/>
          <w:kern w:val="0"/>
          <w:sz w:val="24"/>
          <w:szCs w:val="24"/>
        </w:rPr>
        <w:t>币</w:t>
      </w:r>
      <w:r>
        <w:rPr>
          <w:rFonts w:hint="eastAsia" w:ascii="黑体" w:hAnsi="黑体" w:eastAsia="黑体" w:cs="黑体"/>
          <w:b/>
          <w:bCs/>
          <w:color w:val="000000"/>
          <w:kern w:val="0"/>
          <w:sz w:val="24"/>
          <w:szCs w:val="24"/>
          <w:lang w:eastAsia="zh-CN"/>
        </w:rPr>
        <w:t>，</w:t>
      </w:r>
      <w:r>
        <w:rPr>
          <w:rFonts w:hint="eastAsia" w:ascii="黑体" w:hAnsi="黑体" w:eastAsia="黑体" w:cs="黑体"/>
          <w:b/>
          <w:bCs/>
          <w:color w:val="000000"/>
          <w:kern w:val="0"/>
          <w:sz w:val="24"/>
          <w:szCs w:val="24"/>
          <w:lang w:val="en-US" w:eastAsia="zh-CN"/>
        </w:rPr>
        <w:t>最高加价幅度为200000元人民币</w:t>
      </w:r>
      <w:r>
        <w:rPr>
          <w:rFonts w:hint="eastAsia" w:ascii="黑体" w:hAnsi="黑体" w:eastAsia="黑体" w:cs="黑体"/>
          <w:b/>
          <w:bCs/>
          <w:color w:val="000000"/>
          <w:kern w:val="0"/>
          <w:sz w:val="24"/>
          <w:szCs w:val="24"/>
        </w:rPr>
        <w:t>。除对底价应价外，各</w:t>
      </w:r>
      <w:r>
        <w:rPr>
          <w:rFonts w:hint="eastAsia" w:ascii="黑体" w:hAnsi="黑体" w:eastAsia="黑体" w:cs="黑体"/>
          <w:b/>
          <w:bCs/>
          <w:color w:val="000000"/>
          <w:kern w:val="0"/>
          <w:sz w:val="24"/>
          <w:szCs w:val="24"/>
          <w:lang w:eastAsia="zh-CN"/>
        </w:rPr>
        <w:t>意向受让方</w:t>
      </w:r>
      <w:r>
        <w:rPr>
          <w:rFonts w:hint="eastAsia" w:ascii="黑体" w:hAnsi="黑体" w:eastAsia="黑体" w:cs="黑体"/>
          <w:b/>
          <w:bCs/>
          <w:color w:val="000000"/>
          <w:kern w:val="0"/>
          <w:sz w:val="24"/>
          <w:szCs w:val="24"/>
        </w:rPr>
        <w:t>每次加价不得低于</w:t>
      </w:r>
      <w:r>
        <w:rPr>
          <w:rFonts w:hint="eastAsia" w:ascii="黑体" w:hAnsi="黑体" w:eastAsia="黑体" w:cs="黑体"/>
          <w:b/>
          <w:bCs/>
          <w:color w:val="000000"/>
          <w:kern w:val="0"/>
          <w:sz w:val="24"/>
          <w:szCs w:val="24"/>
          <w:lang w:val="en-US" w:eastAsia="zh-CN"/>
        </w:rPr>
        <w:t>最低</w:t>
      </w:r>
      <w:r>
        <w:rPr>
          <w:rFonts w:hint="eastAsia" w:ascii="黑体" w:hAnsi="黑体" w:eastAsia="黑体" w:cs="黑体"/>
          <w:b/>
          <w:bCs/>
          <w:color w:val="000000"/>
          <w:kern w:val="0"/>
          <w:sz w:val="24"/>
          <w:szCs w:val="24"/>
        </w:rPr>
        <w:t>加价幅度</w:t>
      </w:r>
      <w:r>
        <w:rPr>
          <w:rFonts w:hint="eastAsia" w:ascii="黑体" w:hAnsi="黑体" w:eastAsia="黑体" w:cs="黑体"/>
          <w:b/>
          <w:bCs/>
          <w:color w:val="000000"/>
          <w:kern w:val="0"/>
          <w:sz w:val="24"/>
          <w:szCs w:val="24"/>
          <w:lang w:val="en-US" w:eastAsia="zh-CN"/>
        </w:rPr>
        <w:t>且加价为最低加价幅度的整数倍</w:t>
      </w:r>
      <w:r>
        <w:rPr>
          <w:rFonts w:hint="eastAsia" w:ascii="黑体" w:hAnsi="黑体" w:eastAsia="黑体" w:cs="黑体"/>
          <w:b/>
          <w:bCs/>
          <w:color w:val="000000"/>
          <w:kern w:val="0"/>
          <w:sz w:val="24"/>
          <w:szCs w:val="24"/>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400" w:lineRule="exact"/>
        <w:ind w:firstLine="490"/>
        <w:jc w:val="left"/>
        <w:textAlignment w:val="auto"/>
        <w:rPr>
          <w:rFonts w:hint="eastAsia" w:ascii="黑体" w:hAnsi="黑体" w:eastAsia="黑体" w:cs="黑体"/>
          <w:b/>
          <w:bCs/>
          <w:kern w:val="0"/>
          <w:sz w:val="24"/>
          <w:szCs w:val="24"/>
        </w:rPr>
      </w:pPr>
      <w:r>
        <w:rPr>
          <w:rFonts w:hint="eastAsia" w:ascii="黑体" w:hAnsi="黑体" w:eastAsia="黑体" w:cs="黑体"/>
          <w:b/>
          <w:bCs/>
          <w:color w:val="000000"/>
          <w:kern w:val="0"/>
          <w:sz w:val="24"/>
          <w:szCs w:val="24"/>
        </w:rPr>
        <w:t>网络竞价成交后，</w:t>
      </w:r>
      <w:r>
        <w:rPr>
          <w:rFonts w:hint="eastAsia" w:ascii="黑体" w:hAnsi="黑体" w:eastAsia="黑体" w:cs="黑体"/>
          <w:b/>
          <w:bCs/>
          <w:color w:val="000000"/>
          <w:kern w:val="0"/>
          <w:sz w:val="24"/>
          <w:szCs w:val="24"/>
          <w:lang w:val="en-US" w:eastAsia="zh-CN"/>
        </w:rPr>
        <w:t>受让方</w:t>
      </w:r>
      <w:r>
        <w:rPr>
          <w:rFonts w:hint="eastAsia" w:ascii="黑体" w:hAnsi="黑体" w:eastAsia="黑体" w:cs="黑体"/>
          <w:b/>
          <w:bCs/>
          <w:color w:val="000000"/>
          <w:kern w:val="0"/>
          <w:sz w:val="24"/>
          <w:szCs w:val="24"/>
        </w:rPr>
        <w:t>应</w:t>
      </w:r>
      <w:r>
        <w:rPr>
          <w:rFonts w:hint="eastAsia" w:ascii="黑体" w:hAnsi="黑体" w:eastAsia="黑体" w:cs="黑体"/>
          <w:b/>
          <w:bCs/>
          <w:color w:val="000000"/>
          <w:kern w:val="0"/>
          <w:sz w:val="24"/>
          <w:szCs w:val="24"/>
          <w:lang w:val="en-US" w:eastAsia="zh-CN"/>
        </w:rPr>
        <w:t>在2021年4月8日下午17:00时前</w:t>
      </w:r>
      <w:r>
        <w:rPr>
          <w:rFonts w:hint="eastAsia" w:ascii="黑体" w:hAnsi="黑体" w:eastAsia="黑体" w:cs="黑体"/>
          <w:b/>
          <w:bCs/>
          <w:color w:val="000000"/>
          <w:kern w:val="0"/>
          <w:sz w:val="24"/>
          <w:szCs w:val="24"/>
        </w:rPr>
        <w:t>支付成交价款</w:t>
      </w:r>
      <w:r>
        <w:rPr>
          <w:rFonts w:hint="eastAsia" w:ascii="黑体" w:hAnsi="黑体" w:eastAsia="黑体" w:cs="黑体"/>
          <w:b/>
          <w:bCs/>
          <w:color w:val="000000"/>
          <w:kern w:val="0"/>
          <w:sz w:val="24"/>
          <w:szCs w:val="24"/>
          <w:lang w:val="en-US" w:eastAsia="zh-CN"/>
        </w:rPr>
        <w:t>至转让方指定账户</w:t>
      </w:r>
      <w:r>
        <w:rPr>
          <w:rFonts w:hint="eastAsia" w:ascii="黑体" w:hAnsi="黑体" w:eastAsia="黑体" w:cs="黑体"/>
          <w:b/>
          <w:bCs/>
          <w:color w:val="000000"/>
          <w:kern w:val="0"/>
          <w:sz w:val="24"/>
          <w:szCs w:val="24"/>
          <w:lang w:eastAsia="zh-CN"/>
        </w:rPr>
        <w:t>。</w:t>
      </w:r>
      <w:r>
        <w:rPr>
          <w:rFonts w:hint="eastAsia" w:ascii="黑体" w:hAnsi="黑体" w:eastAsia="黑体" w:cs="黑体"/>
          <w:b/>
          <w:bCs/>
          <w:color w:val="000000"/>
          <w:kern w:val="0"/>
          <w:sz w:val="24"/>
          <w:szCs w:val="24"/>
          <w:lang w:val="en-US" w:eastAsia="zh-CN"/>
        </w:rPr>
        <w:t>受让方</w:t>
      </w:r>
      <w:r>
        <w:rPr>
          <w:rFonts w:hint="eastAsia" w:ascii="黑体" w:hAnsi="黑体" w:eastAsia="黑体" w:cs="黑体"/>
          <w:b/>
          <w:bCs/>
          <w:color w:val="000000"/>
          <w:kern w:val="0"/>
          <w:sz w:val="24"/>
          <w:szCs w:val="24"/>
        </w:rPr>
        <w:t>应向</w:t>
      </w:r>
      <w:r>
        <w:rPr>
          <w:rFonts w:hint="eastAsia" w:ascii="黑体" w:hAnsi="黑体" w:eastAsia="黑体" w:cs="黑体"/>
          <w:b/>
          <w:bCs/>
          <w:color w:val="000000"/>
          <w:kern w:val="0"/>
          <w:sz w:val="24"/>
          <w:szCs w:val="24"/>
          <w:lang w:val="en-US" w:eastAsia="zh-CN"/>
        </w:rPr>
        <w:t>兴菏公司</w:t>
      </w:r>
      <w:r>
        <w:rPr>
          <w:rFonts w:hint="eastAsia" w:ascii="黑体" w:hAnsi="黑体" w:eastAsia="黑体" w:cs="黑体"/>
          <w:b/>
          <w:bCs/>
          <w:color w:val="000000"/>
          <w:kern w:val="0"/>
          <w:sz w:val="24"/>
          <w:szCs w:val="24"/>
        </w:rPr>
        <w:t>支付</w:t>
      </w:r>
      <w:r>
        <w:rPr>
          <w:rFonts w:hint="eastAsia" w:ascii="黑体" w:hAnsi="黑体" w:eastAsia="黑体" w:cs="黑体"/>
          <w:b/>
          <w:bCs/>
          <w:color w:val="000000"/>
          <w:kern w:val="0"/>
          <w:sz w:val="24"/>
          <w:szCs w:val="24"/>
          <w:lang w:val="en-US" w:eastAsia="zh-CN"/>
        </w:rPr>
        <w:t>成交价款5%的佣金。兴菏公司在确认受让方成交价款入账、交清佣金后向交易双方出具《产权交易凭证》</w:t>
      </w:r>
      <w:r>
        <w:rPr>
          <w:rFonts w:hint="eastAsia" w:ascii="黑体" w:hAnsi="黑体" w:eastAsia="黑体" w:cs="黑体"/>
          <w:b/>
          <w:bCs/>
          <w:color w:val="000000"/>
          <w:kern w:val="0"/>
          <w:sz w:val="24"/>
          <w:szCs w:val="24"/>
        </w:rPr>
        <w:t>。</w:t>
      </w:r>
    </w:p>
    <w:p>
      <w:pPr>
        <w:pStyle w:val="4"/>
        <w:keepNext w:val="0"/>
        <w:keepLines w:val="0"/>
        <w:pageBreakBefore w:val="0"/>
        <w:widowControl/>
        <w:kinsoku/>
        <w:wordWrap/>
        <w:overflowPunct/>
        <w:topLinePunct w:val="0"/>
        <w:autoSpaceDE/>
        <w:autoSpaceDN/>
        <w:bidi w:val="0"/>
        <w:spacing w:beforeAutospacing="0" w:afterAutospacing="0" w:line="400" w:lineRule="exact"/>
        <w:ind w:firstLine="482" w:firstLineChars="200"/>
        <w:textAlignment w:val="auto"/>
        <w:rPr>
          <w:rFonts w:hint="eastAsia" w:ascii="黑体" w:hAnsi="黑体" w:eastAsia="黑体" w:cs="黑体"/>
          <w:b/>
          <w:bCs/>
          <w:color w:val="000000"/>
          <w:kern w:val="0"/>
          <w:sz w:val="24"/>
          <w:szCs w:val="24"/>
          <w:lang w:val="en-US" w:eastAsia="zh-CN" w:bidi="ar-SA"/>
        </w:rPr>
      </w:pPr>
      <w:r>
        <w:rPr>
          <w:rFonts w:hint="eastAsia" w:ascii="黑体" w:hAnsi="黑体" w:eastAsia="黑体" w:cs="黑体"/>
          <w:b/>
          <w:bCs/>
          <w:color w:val="000000"/>
          <w:kern w:val="0"/>
          <w:sz w:val="24"/>
          <w:szCs w:val="24"/>
          <w:lang w:val="en-US" w:eastAsia="zh-CN" w:bidi="ar-SA"/>
        </w:rPr>
        <w:t>十一、若竞买成功，交易保证金直至办理完交接手续、结清交易佣金后无息退还；次高价的意向受让方所缴纳的交易保证金直至受让方交清成交价款及交易佣金后无息退还。未竞买成功且无违约责任的其他意向受让方，兴菏公司于网络竞价结束后5个工作日内将交易保证金无息退还。</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十二、</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提供虚假资料、扰乱报价、恶意串通或其他违反法律法规的，</w:t>
      </w:r>
      <w:r>
        <w:rPr>
          <w:rFonts w:hint="eastAsia" w:ascii="宋体" w:hAnsi="宋体" w:eastAsia="宋体" w:cs="宋体"/>
          <w:color w:val="000000"/>
          <w:kern w:val="0"/>
          <w:sz w:val="24"/>
          <w:szCs w:val="24"/>
          <w:lang w:val="en-US" w:eastAsia="zh-CN"/>
        </w:rPr>
        <w:t>兴菏公司</w:t>
      </w:r>
      <w:r>
        <w:rPr>
          <w:rFonts w:hint="eastAsia" w:ascii="宋体" w:hAnsi="宋体" w:eastAsia="宋体" w:cs="宋体"/>
          <w:color w:val="000000"/>
          <w:kern w:val="0"/>
          <w:sz w:val="24"/>
          <w:szCs w:val="24"/>
        </w:rPr>
        <w:t>有权取消其网络竞价参与资格、确认报价无效，并冻结其保证金，保留对其追究法律责任的权利。</w:t>
      </w:r>
    </w:p>
    <w:p>
      <w:pPr>
        <w:keepNext w:val="0"/>
        <w:keepLines w:val="0"/>
        <w:pageBreakBefore w:val="0"/>
        <w:numPr>
          <w:ilvl w:val="0"/>
          <w:numId w:val="0"/>
        </w:numPr>
        <w:kinsoku/>
        <w:wordWrap/>
        <w:overflowPunct/>
        <w:topLinePunct w:val="0"/>
        <w:autoSpaceDE/>
        <w:autoSpaceDN/>
        <w:bidi w:val="0"/>
        <w:spacing w:line="400" w:lineRule="exact"/>
        <w:ind w:left="420" w:leftChars="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十三、</w:t>
      </w:r>
      <w:r>
        <w:rPr>
          <w:rFonts w:hint="eastAsia" w:ascii="宋体" w:hAnsi="宋体" w:cs="宋体"/>
          <w:bCs/>
          <w:sz w:val="24"/>
          <w:szCs w:val="24"/>
          <w:lang w:val="en-US" w:eastAsia="zh-CN"/>
        </w:rPr>
        <w:t>受让方</w:t>
      </w:r>
      <w:r>
        <w:rPr>
          <w:rFonts w:hint="eastAsia" w:ascii="宋体" w:hAnsi="宋体" w:eastAsia="宋体" w:cs="宋体"/>
          <w:bCs/>
          <w:sz w:val="24"/>
          <w:szCs w:val="24"/>
          <w:lang w:val="en-US" w:eastAsia="zh-CN"/>
        </w:rPr>
        <w:t>有下列行为之一的，视为违约：</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w:t>
      </w:r>
      <w:r>
        <w:rPr>
          <w:rFonts w:hint="eastAsia" w:ascii="宋体" w:hAnsi="宋体" w:cs="宋体"/>
          <w:bCs/>
          <w:sz w:val="24"/>
          <w:szCs w:val="24"/>
          <w:lang w:val="en-US" w:eastAsia="zh-CN"/>
        </w:rPr>
        <w:t>受让方</w:t>
      </w:r>
      <w:r>
        <w:rPr>
          <w:rFonts w:hint="eastAsia" w:ascii="宋体" w:hAnsi="宋体" w:eastAsia="宋体" w:cs="宋体"/>
          <w:bCs/>
          <w:sz w:val="24"/>
          <w:szCs w:val="24"/>
          <w:lang w:val="en-US" w:eastAsia="zh-CN"/>
        </w:rPr>
        <w:t>提供虚假失实材料的；</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w:t>
      </w:r>
      <w:r>
        <w:rPr>
          <w:rFonts w:hint="eastAsia" w:ascii="宋体" w:hAnsi="宋体" w:cs="宋体"/>
          <w:bCs/>
          <w:sz w:val="24"/>
          <w:szCs w:val="24"/>
          <w:lang w:val="en-US" w:eastAsia="zh-CN"/>
        </w:rPr>
        <w:t>受让方</w:t>
      </w:r>
      <w:r>
        <w:rPr>
          <w:rFonts w:hint="eastAsia" w:ascii="宋体" w:hAnsi="宋体" w:eastAsia="宋体" w:cs="宋体"/>
          <w:bCs/>
          <w:sz w:val="24"/>
          <w:szCs w:val="24"/>
          <w:lang w:val="en-US" w:eastAsia="zh-CN"/>
        </w:rPr>
        <w:t>串通或干扰公平竞争扰乱正常交易秩序的；</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w:t>
      </w:r>
      <w:r>
        <w:rPr>
          <w:rFonts w:hint="eastAsia" w:ascii="宋体" w:hAnsi="宋体" w:cs="宋体"/>
          <w:bCs/>
          <w:sz w:val="24"/>
          <w:szCs w:val="24"/>
          <w:lang w:val="en-US" w:eastAsia="zh-CN"/>
        </w:rPr>
        <w:t>受让方</w:t>
      </w:r>
      <w:r>
        <w:rPr>
          <w:rFonts w:hint="eastAsia" w:ascii="宋体" w:hAnsi="宋体" w:eastAsia="宋体" w:cs="宋体"/>
          <w:bCs/>
          <w:sz w:val="24"/>
          <w:szCs w:val="24"/>
          <w:lang w:val="en-US" w:eastAsia="zh-CN"/>
        </w:rPr>
        <w:t>逾期或拒绝签订《</w:t>
      </w:r>
      <w:r>
        <w:rPr>
          <w:rFonts w:hint="eastAsia" w:ascii="宋体" w:hAnsi="宋体" w:cs="宋体"/>
          <w:bCs/>
          <w:sz w:val="24"/>
          <w:szCs w:val="24"/>
          <w:lang w:val="en-US" w:eastAsia="zh-CN"/>
        </w:rPr>
        <w:t>产权交易合同</w:t>
      </w:r>
      <w:r>
        <w:rPr>
          <w:rFonts w:hint="eastAsia" w:ascii="宋体" w:hAnsi="宋体" w:eastAsia="宋体" w:cs="宋体"/>
          <w:bCs/>
          <w:sz w:val="24"/>
          <w:szCs w:val="24"/>
          <w:lang w:val="en-US" w:eastAsia="zh-CN"/>
        </w:rPr>
        <w:t>》及其他相关文件的；</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w:t>
      </w:r>
      <w:r>
        <w:rPr>
          <w:rFonts w:hint="eastAsia" w:ascii="宋体" w:hAnsi="宋体" w:cs="宋体"/>
          <w:bCs/>
          <w:sz w:val="24"/>
          <w:szCs w:val="24"/>
          <w:lang w:val="en-US" w:eastAsia="zh-CN"/>
        </w:rPr>
        <w:t>受让方</w:t>
      </w:r>
      <w:r>
        <w:rPr>
          <w:rFonts w:hint="eastAsia" w:ascii="宋体" w:hAnsi="宋体" w:eastAsia="宋体" w:cs="宋体"/>
          <w:bCs/>
          <w:sz w:val="24"/>
          <w:szCs w:val="24"/>
          <w:lang w:val="en-US" w:eastAsia="zh-CN"/>
        </w:rPr>
        <w:t>逾期或拒绝按照本规则规定的付款期限支付成交价款和佣金的。</w:t>
      </w:r>
    </w:p>
    <w:p>
      <w:pPr>
        <w:keepNext w:val="0"/>
        <w:keepLines w:val="0"/>
        <w:pageBreakBefore w:val="0"/>
        <w:numPr>
          <w:ilvl w:val="0"/>
          <w:numId w:val="0"/>
        </w:numPr>
        <w:kinsoku/>
        <w:wordWrap/>
        <w:overflowPunct/>
        <w:topLinePunct w:val="0"/>
        <w:autoSpaceDE/>
        <w:autoSpaceDN/>
        <w:bidi w:val="0"/>
        <w:spacing w:line="400" w:lineRule="exact"/>
        <w:ind w:firstLine="482" w:firstLineChars="200"/>
        <w:textAlignment w:val="auto"/>
        <w:rPr>
          <w:rFonts w:hint="eastAsia" w:ascii="黑体" w:hAnsi="黑体" w:eastAsia="黑体" w:cs="黑体"/>
          <w:bCs/>
          <w:sz w:val="24"/>
          <w:szCs w:val="24"/>
          <w:lang w:val="en-US" w:eastAsia="zh-CN"/>
        </w:rPr>
      </w:pPr>
      <w:r>
        <w:rPr>
          <w:rFonts w:hint="eastAsia" w:ascii="黑体" w:hAnsi="黑体" w:eastAsia="黑体" w:cs="黑体"/>
          <w:b/>
          <w:bCs w:val="0"/>
          <w:sz w:val="24"/>
          <w:szCs w:val="24"/>
          <w:lang w:val="en-US" w:eastAsia="zh-CN"/>
        </w:rPr>
        <w:t>十四、顺延规则：若受让方违约，则不视为正式受让方，其竞买结果无效，交易保证金不予退还，顺延至次高价的意向受让方为受让方。若次高应价的受让方违约，其竞买结果无效，交易保证金不予退还，该转让标的另行组织交易，网络竞价过程中，所有意向受让方的报价均具有法律效力，一经应价，不得反悔，否则追究其法律责任，其交易保证金不予退还。</w:t>
      </w:r>
    </w:p>
    <w:p>
      <w:pPr>
        <w:pStyle w:val="4"/>
        <w:keepNext w:val="0"/>
        <w:keepLines w:val="0"/>
        <w:pageBreakBefore w:val="0"/>
        <w:widowControl/>
        <w:kinsoku/>
        <w:wordWrap/>
        <w:overflowPunct/>
        <w:topLinePunct w:val="0"/>
        <w:autoSpaceDE/>
        <w:autoSpaceDN/>
        <w:bidi w:val="0"/>
        <w:spacing w:beforeAutospacing="0" w:afterAutospacing="0" w:line="400" w:lineRule="exact"/>
        <w:ind w:firstLine="482" w:firstLineChars="200"/>
        <w:textAlignment w:val="auto"/>
        <w:rPr>
          <w:rFonts w:hint="eastAsia" w:ascii="黑体" w:hAnsi="黑体" w:eastAsia="黑体" w:cs="黑体"/>
          <w:b/>
          <w:bCs w:val="0"/>
          <w:sz w:val="24"/>
          <w:szCs w:val="24"/>
          <w:lang w:val="en-US" w:eastAsia="zh-CN"/>
        </w:rPr>
      </w:pPr>
      <w:r>
        <w:rPr>
          <w:rFonts w:hint="eastAsia" w:ascii="黑体" w:hAnsi="黑体" w:eastAsia="黑体" w:cs="黑体"/>
          <w:b/>
          <w:bCs w:val="0"/>
          <w:kern w:val="2"/>
          <w:sz w:val="24"/>
          <w:szCs w:val="24"/>
          <w:lang w:val="en-US" w:eastAsia="zh-CN" w:bidi="ar-SA"/>
        </w:rPr>
        <w:t>十五、如果受让方违约，兴菏公司扣除其交易保证金，并追究违约责任。根据顺延规则，顺延至次高价的意向受让方为受让方，次高价的受让方应于2021年4月9日下午17时前交清成交价款及佣金，并与转让方签订《产权交易合同》，否则同样视为违约，兴菏公司扣除其交易保证金，并追究违约责任，</w:t>
      </w:r>
      <w:r>
        <w:rPr>
          <w:rFonts w:hint="eastAsia" w:ascii="黑体" w:hAnsi="黑体" w:eastAsia="黑体" w:cs="黑体"/>
          <w:b/>
          <w:bCs w:val="0"/>
          <w:sz w:val="24"/>
          <w:szCs w:val="24"/>
          <w:lang w:val="en-US" w:eastAsia="zh-CN"/>
        </w:rPr>
        <w:t>该转让标的另行组织交易。</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十</w:t>
      </w:r>
      <w:r>
        <w:rPr>
          <w:rFonts w:hint="eastAsia" w:ascii="宋体" w:hAnsi="宋体" w:cs="宋体"/>
          <w:color w:val="000000"/>
          <w:kern w:val="0"/>
          <w:sz w:val="24"/>
          <w:szCs w:val="24"/>
          <w:lang w:val="en-US" w:eastAsia="zh-CN"/>
        </w:rPr>
        <w:t>六</w:t>
      </w:r>
      <w:r>
        <w:rPr>
          <w:rFonts w:hint="eastAsia" w:ascii="宋体" w:hAnsi="宋体" w:eastAsia="宋体" w:cs="宋体"/>
          <w:color w:val="000000"/>
          <w:kern w:val="0"/>
          <w:sz w:val="24"/>
          <w:szCs w:val="24"/>
        </w:rPr>
        <w:t>、</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应对其参与网络竞价的注册</w:t>
      </w:r>
      <w:r>
        <w:rPr>
          <w:rFonts w:hint="eastAsia" w:ascii="宋体" w:hAnsi="宋体" w:cs="宋体"/>
          <w:color w:val="000000"/>
          <w:kern w:val="0"/>
          <w:sz w:val="24"/>
          <w:szCs w:val="24"/>
          <w:lang w:val="en-US" w:eastAsia="zh-CN"/>
        </w:rPr>
        <w:t>账</w:t>
      </w:r>
      <w:r>
        <w:rPr>
          <w:rFonts w:hint="eastAsia" w:ascii="宋体" w:hAnsi="宋体" w:eastAsia="宋体" w:cs="宋体"/>
          <w:color w:val="000000"/>
          <w:kern w:val="0"/>
          <w:sz w:val="24"/>
          <w:szCs w:val="24"/>
        </w:rPr>
        <w:t>户的安全性负责，任何使用</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用户名和密码登录进入网络竞价系统，在系统中的一切行为均视为</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本人的行为，由</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负责。</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十</w:t>
      </w:r>
      <w:r>
        <w:rPr>
          <w:rFonts w:hint="eastAsia" w:ascii="宋体" w:hAnsi="宋体" w:cs="宋体"/>
          <w:color w:val="000000"/>
          <w:kern w:val="0"/>
          <w:sz w:val="24"/>
          <w:szCs w:val="24"/>
          <w:lang w:val="en-US" w:eastAsia="zh-CN"/>
        </w:rPr>
        <w:t>七</w:t>
      </w:r>
      <w:r>
        <w:rPr>
          <w:rFonts w:hint="eastAsia" w:ascii="宋体" w:hAnsi="宋体" w:eastAsia="宋体" w:cs="宋体"/>
          <w:color w:val="000000"/>
          <w:kern w:val="0"/>
          <w:sz w:val="24"/>
          <w:szCs w:val="24"/>
        </w:rPr>
        <w:t>、</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如</w:t>
      </w:r>
      <w:r>
        <w:rPr>
          <w:rFonts w:hint="eastAsia" w:ascii="宋体" w:hAnsi="宋体" w:eastAsia="宋体" w:cs="宋体"/>
          <w:color w:val="000000"/>
          <w:kern w:val="0"/>
          <w:sz w:val="24"/>
          <w:szCs w:val="24"/>
          <w:lang w:val="en-US" w:eastAsia="zh-CN"/>
        </w:rPr>
        <w:t>有</w:t>
      </w:r>
      <w:r>
        <w:rPr>
          <w:rFonts w:hint="eastAsia" w:ascii="宋体" w:hAnsi="宋体" w:eastAsia="宋体" w:cs="宋体"/>
          <w:color w:val="000000"/>
          <w:kern w:val="0"/>
          <w:sz w:val="24"/>
          <w:szCs w:val="24"/>
        </w:rPr>
        <w:t>下行为产生的一切后果，</w:t>
      </w:r>
      <w:r>
        <w:rPr>
          <w:rFonts w:hint="eastAsia" w:ascii="宋体" w:hAnsi="宋体" w:eastAsia="宋体" w:cs="宋体"/>
          <w:color w:val="000000"/>
          <w:kern w:val="0"/>
          <w:sz w:val="24"/>
          <w:szCs w:val="24"/>
          <w:lang w:val="en-US" w:eastAsia="zh-CN"/>
        </w:rPr>
        <w:t>兴菏公司</w:t>
      </w:r>
      <w:r>
        <w:rPr>
          <w:rFonts w:hint="eastAsia" w:ascii="宋体" w:hAnsi="宋体" w:eastAsia="宋体" w:cs="宋体"/>
          <w:color w:val="000000"/>
          <w:kern w:val="0"/>
          <w:sz w:val="24"/>
          <w:szCs w:val="24"/>
        </w:rPr>
        <w:t>不承担任何责任：</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1、未及时关注</w:t>
      </w:r>
      <w:r>
        <w:rPr>
          <w:rFonts w:hint="eastAsia" w:ascii="宋体" w:hAnsi="宋体" w:eastAsia="宋体" w:cs="宋体"/>
          <w:color w:val="000000"/>
          <w:kern w:val="0"/>
          <w:sz w:val="24"/>
          <w:szCs w:val="24"/>
          <w:lang w:val="en-US" w:eastAsia="zh-CN"/>
        </w:rPr>
        <w:t>兴菏公司网站</w:t>
      </w:r>
      <w:r>
        <w:rPr>
          <w:rFonts w:hint="eastAsia" w:ascii="宋体" w:hAnsi="宋体" w:eastAsia="宋体" w:cs="宋体"/>
          <w:color w:val="000000"/>
          <w:kern w:val="0"/>
          <w:sz w:val="24"/>
          <w:szCs w:val="24"/>
        </w:rPr>
        <w:t>相关信息的；</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2、由于</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自身的终端设备和网络异常等原因导致无法正常报价的；</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3、网络竞价活动的时间以网络竞价系统服务器时间为准。由于</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自身终端设备时间与动态报价系统服务器时间不符而导致未按时参与报价的。</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十</w:t>
      </w:r>
      <w:r>
        <w:rPr>
          <w:rFonts w:hint="eastAsia" w:ascii="宋体" w:hAnsi="宋体" w:cs="宋体"/>
          <w:color w:val="000000"/>
          <w:kern w:val="0"/>
          <w:sz w:val="24"/>
          <w:szCs w:val="24"/>
          <w:lang w:val="en-US" w:eastAsia="zh-CN"/>
        </w:rPr>
        <w:t>八</w:t>
      </w:r>
      <w:r>
        <w:rPr>
          <w:rFonts w:hint="eastAsia" w:ascii="宋体" w:hAnsi="宋体" w:eastAsia="宋体" w:cs="宋体"/>
          <w:color w:val="000000"/>
          <w:kern w:val="0"/>
          <w:sz w:val="24"/>
          <w:szCs w:val="24"/>
          <w:lang w:val="en-US" w:eastAsia="zh-CN"/>
        </w:rPr>
        <w:t>、建议</w:t>
      </w:r>
      <w:r>
        <w:rPr>
          <w:rFonts w:hint="eastAsia" w:ascii="宋体" w:hAnsi="宋体" w:cs="宋体"/>
          <w:color w:val="000000"/>
          <w:kern w:val="0"/>
          <w:sz w:val="24"/>
          <w:szCs w:val="24"/>
          <w:lang w:val="en-US" w:eastAsia="zh-CN"/>
        </w:rPr>
        <w:t>意向受让方</w:t>
      </w:r>
      <w:r>
        <w:rPr>
          <w:rFonts w:hint="eastAsia" w:ascii="宋体" w:hAnsi="宋体" w:eastAsia="宋体" w:cs="宋体"/>
          <w:color w:val="000000"/>
          <w:kern w:val="0"/>
          <w:sz w:val="24"/>
          <w:szCs w:val="24"/>
          <w:lang w:val="en-US" w:eastAsia="zh-CN"/>
        </w:rPr>
        <w:t>使用</w:t>
      </w:r>
      <w:r>
        <w:rPr>
          <w:rFonts w:hint="eastAsia" w:ascii="宋体" w:hAnsi="宋体" w:eastAsia="宋体" w:cs="宋体"/>
          <w:b/>
          <w:bCs/>
          <w:color w:val="000000"/>
          <w:kern w:val="0"/>
          <w:sz w:val="24"/>
          <w:szCs w:val="24"/>
          <w:lang w:val="en-US" w:eastAsia="zh-CN"/>
        </w:rPr>
        <w:t>谷歌浏览器、360极速浏览器等谷歌内核的浏览器</w:t>
      </w:r>
      <w:r>
        <w:rPr>
          <w:rFonts w:hint="eastAsia" w:ascii="宋体" w:hAnsi="宋体" w:eastAsia="宋体" w:cs="宋体"/>
          <w:color w:val="000000"/>
          <w:kern w:val="0"/>
          <w:sz w:val="24"/>
          <w:szCs w:val="24"/>
          <w:lang w:val="en-US" w:eastAsia="zh-CN"/>
        </w:rPr>
        <w:t>登录兴菏公司网络竞价系统进行报价，如采用其他浏览器参与竞价而出现一切后果由</w:t>
      </w:r>
      <w:r>
        <w:rPr>
          <w:rFonts w:hint="eastAsia" w:ascii="宋体" w:hAnsi="宋体" w:cs="宋体"/>
          <w:color w:val="000000"/>
          <w:kern w:val="0"/>
          <w:sz w:val="24"/>
          <w:szCs w:val="24"/>
          <w:lang w:val="en-US" w:eastAsia="zh-CN"/>
        </w:rPr>
        <w:t>受让方</w:t>
      </w:r>
      <w:r>
        <w:rPr>
          <w:rFonts w:hint="eastAsia" w:ascii="宋体" w:hAnsi="宋体" w:eastAsia="宋体" w:cs="宋体"/>
          <w:color w:val="000000"/>
          <w:kern w:val="0"/>
          <w:sz w:val="24"/>
          <w:szCs w:val="24"/>
          <w:lang w:val="en-US" w:eastAsia="zh-CN"/>
        </w:rPr>
        <w:t>自行承担。</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十</w:t>
      </w:r>
      <w:r>
        <w:rPr>
          <w:rFonts w:hint="eastAsia" w:ascii="宋体" w:hAnsi="宋体" w:cs="宋体"/>
          <w:color w:val="000000"/>
          <w:kern w:val="0"/>
          <w:sz w:val="24"/>
          <w:szCs w:val="24"/>
          <w:lang w:val="en-US" w:eastAsia="zh-CN"/>
        </w:rPr>
        <w:t>九</w:t>
      </w:r>
      <w:r>
        <w:rPr>
          <w:rFonts w:hint="eastAsia" w:ascii="宋体" w:hAnsi="宋体" w:eastAsia="宋体" w:cs="宋体"/>
          <w:color w:val="000000"/>
          <w:kern w:val="0"/>
          <w:sz w:val="24"/>
          <w:szCs w:val="24"/>
        </w:rPr>
        <w:t>、网络竞价系统因不可抗力、软硬件故障、非法入侵、恶意攻击等原因而导致系统异常、竞价活动中断的，</w:t>
      </w:r>
      <w:r>
        <w:rPr>
          <w:rFonts w:hint="eastAsia" w:ascii="宋体" w:hAnsi="宋体" w:eastAsia="宋体" w:cs="宋体"/>
          <w:color w:val="000000"/>
          <w:kern w:val="0"/>
          <w:sz w:val="24"/>
          <w:szCs w:val="24"/>
          <w:lang w:val="en-US" w:eastAsia="zh-CN"/>
        </w:rPr>
        <w:t>兴菏公司</w:t>
      </w:r>
      <w:r>
        <w:rPr>
          <w:rFonts w:hint="eastAsia" w:ascii="宋体" w:hAnsi="宋体" w:eastAsia="宋体" w:cs="宋体"/>
          <w:color w:val="000000"/>
          <w:kern w:val="0"/>
          <w:sz w:val="24"/>
          <w:szCs w:val="24"/>
        </w:rPr>
        <w:t>不承担任何责任。</w:t>
      </w:r>
      <w:r>
        <w:rPr>
          <w:rFonts w:hint="eastAsia" w:ascii="宋体" w:hAnsi="宋体" w:eastAsia="宋体" w:cs="宋体"/>
          <w:color w:val="000000"/>
          <w:kern w:val="0"/>
          <w:sz w:val="24"/>
          <w:szCs w:val="24"/>
          <w:lang w:val="en-US" w:eastAsia="zh-CN"/>
        </w:rPr>
        <w:t>兴菏公司</w:t>
      </w:r>
      <w:r>
        <w:rPr>
          <w:rFonts w:hint="eastAsia" w:ascii="宋体" w:hAnsi="宋体" w:eastAsia="宋体" w:cs="宋体"/>
          <w:color w:val="000000"/>
          <w:kern w:val="0"/>
          <w:sz w:val="24"/>
          <w:szCs w:val="24"/>
        </w:rPr>
        <w:t>将视情况组织继续报价或重新报价，并通过</w:t>
      </w:r>
      <w:r>
        <w:rPr>
          <w:rFonts w:hint="eastAsia" w:ascii="宋体" w:hAnsi="宋体" w:eastAsia="宋体" w:cs="宋体"/>
          <w:color w:val="000000"/>
          <w:kern w:val="0"/>
          <w:sz w:val="24"/>
          <w:szCs w:val="24"/>
          <w:lang w:val="en-US" w:eastAsia="zh-CN"/>
        </w:rPr>
        <w:t>兴菏公司</w:t>
      </w:r>
      <w:r>
        <w:rPr>
          <w:rFonts w:hint="eastAsia" w:ascii="宋体" w:hAnsi="宋体" w:eastAsia="宋体" w:cs="宋体"/>
          <w:color w:val="000000"/>
          <w:kern w:val="0"/>
          <w:sz w:val="24"/>
          <w:szCs w:val="24"/>
        </w:rPr>
        <w:t>网站通知各</w:t>
      </w:r>
      <w:r>
        <w:rPr>
          <w:rFonts w:hint="eastAsia" w:ascii="宋体" w:hAnsi="宋体" w:cs="宋体"/>
          <w:color w:val="000000"/>
          <w:kern w:val="0"/>
          <w:sz w:val="24"/>
          <w:szCs w:val="24"/>
          <w:lang w:eastAsia="zh-CN"/>
        </w:rPr>
        <w:t>意向受让方</w:t>
      </w:r>
      <w:r>
        <w:rPr>
          <w:rFonts w:hint="eastAsia" w:ascii="宋体" w:hAnsi="宋体" w:eastAsia="宋体" w:cs="宋体"/>
          <w:color w:val="000000"/>
          <w:kern w:val="0"/>
          <w:sz w:val="24"/>
          <w:szCs w:val="24"/>
        </w:rPr>
        <w:t>。继续报价或重新报价的方式如下：</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报价记录可以恢复的，以中断时的最高有效报价为起始价继续报价；报价记录无法恢复的，以转让底价为起始价重新报价。</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二十、转让标的资料仅供参考，转让标的以实际查看现状为准。</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二十一、若竞买不成功，我公司与5个工作日内无息返还交易保证金；若竞买成功，交易保证金直至办理完交接手续、结清交易佣金后无息退还。若中途退出、串通压价、干扰竞买，取消其竞买资格，交易保证金不予返还。</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二十二、参考《资产评估报告书》鲁中慧评字（2021）第26号。</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二十三、受让方对广告的内容需报转让方审批，具体标准详见《产权交易合同》。</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二十四、本次转让标的内容和范围的界定，解释权归转让方所有，转让方和兴菏公司不对标的表现的数量和质量做任何担保。</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二十五、竞买成功，受让方凭成交价款缴款收据与转让方签订《产权交易合同》，</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二十六、交接完毕，经转让方验收合格后结算交易保证金。</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二十七、合同履行期间，因政府行为或不可抗力因素，造成合同终止，由转让方、受让方协商解决。</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二十八、受让方须承诺：</w:t>
      </w:r>
    </w:p>
    <w:p>
      <w:pPr>
        <w:keepNext w:val="0"/>
        <w:keepLines w:val="0"/>
        <w:pageBreakBefore w:val="0"/>
        <w:widowControl/>
        <w:kinsoku/>
        <w:wordWrap/>
        <w:overflowPunct/>
        <w:topLinePunct w:val="0"/>
        <w:autoSpaceDE/>
        <w:autoSpaceDN/>
        <w:bidi w:val="0"/>
        <w:adjustRightInd w:val="0"/>
        <w:snapToGrid w:val="0"/>
        <w:spacing w:line="400" w:lineRule="exact"/>
        <w:ind w:firstLine="490"/>
        <w:jc w:val="left"/>
        <w:textAlignment w:val="auto"/>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1、受让方须具有良好的财务状况和支付能</w:t>
      </w:r>
      <w:r>
        <w:rPr>
          <w:rFonts w:hint="eastAsia" w:ascii="宋体" w:hAnsi="宋体" w:eastAsia="宋体" w:cs="宋体"/>
          <w:bCs/>
          <w:sz w:val="24"/>
          <w:szCs w:val="24"/>
          <w:lang w:val="en-US" w:eastAsia="zh-CN"/>
        </w:rPr>
        <w:t>力。</w:t>
      </w:r>
    </w:p>
    <w:p>
      <w:pPr>
        <w:keepNext w:val="0"/>
        <w:keepLines w:val="0"/>
        <w:pageBreakBefore w:val="0"/>
        <w:numPr>
          <w:ilvl w:val="0"/>
          <w:numId w:val="0"/>
        </w:numPr>
        <w:kinsoku/>
        <w:wordWrap/>
        <w:overflowPunct/>
        <w:topLinePunct w:val="0"/>
        <w:autoSpaceDE/>
        <w:autoSpaceDN/>
        <w:bidi w:val="0"/>
        <w:spacing w:line="40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w:t>
      </w:r>
      <w:r>
        <w:rPr>
          <w:rFonts w:hint="eastAsia" w:ascii="宋体" w:hAnsi="宋体" w:cs="宋体"/>
          <w:bCs/>
          <w:sz w:val="24"/>
          <w:szCs w:val="24"/>
          <w:lang w:val="en-US" w:eastAsia="zh-CN"/>
        </w:rPr>
        <w:t>受让方</w:t>
      </w:r>
      <w:r>
        <w:rPr>
          <w:rFonts w:hint="eastAsia" w:ascii="宋体" w:hAnsi="宋体" w:eastAsia="宋体" w:cs="宋体"/>
          <w:bCs/>
          <w:sz w:val="24"/>
          <w:szCs w:val="24"/>
          <w:lang w:val="en-US" w:eastAsia="zh-CN"/>
        </w:rPr>
        <w:t>须承诺，在挂牌公告期间已自行对标的进行了全面了解，一经递交报名材料并交纳</w:t>
      </w:r>
      <w:r>
        <w:rPr>
          <w:rFonts w:hint="eastAsia" w:ascii="宋体" w:hAnsi="宋体" w:cs="宋体"/>
          <w:bCs/>
          <w:sz w:val="24"/>
          <w:szCs w:val="24"/>
          <w:lang w:val="en-US" w:eastAsia="zh-CN"/>
        </w:rPr>
        <w:t>交易保证金</w:t>
      </w:r>
      <w:r>
        <w:rPr>
          <w:rFonts w:hint="eastAsia" w:ascii="宋体" w:hAnsi="宋体" w:eastAsia="宋体" w:cs="宋体"/>
          <w:bCs/>
          <w:sz w:val="24"/>
          <w:szCs w:val="24"/>
          <w:lang w:val="en-US" w:eastAsia="zh-CN"/>
        </w:rPr>
        <w:t>后，即表明理解并接受本次转让标的所有内容及程序，完全了解与认可标的物状况以及存在的瑕疵等一切内容，自行承担竞买该标的所带来的一切风险和后果，并不得以不了解转让标的为由退还转让标的，否则将视为违约；非因</w:t>
      </w:r>
      <w:r>
        <w:rPr>
          <w:rFonts w:hint="eastAsia" w:ascii="宋体" w:hAnsi="宋体" w:cs="宋体"/>
          <w:bCs/>
          <w:sz w:val="24"/>
          <w:szCs w:val="24"/>
          <w:lang w:val="en-US" w:eastAsia="zh-CN"/>
        </w:rPr>
        <w:t>转让方</w:t>
      </w:r>
      <w:r>
        <w:rPr>
          <w:rFonts w:hint="eastAsia" w:ascii="宋体" w:hAnsi="宋体" w:eastAsia="宋体" w:cs="宋体"/>
          <w:bCs/>
          <w:sz w:val="24"/>
          <w:szCs w:val="24"/>
          <w:lang w:val="en-US" w:eastAsia="zh-CN"/>
        </w:rPr>
        <w:t>原因所引发的风险因素，由</w:t>
      </w:r>
      <w:r>
        <w:rPr>
          <w:rFonts w:hint="eastAsia" w:ascii="宋体" w:hAnsi="宋体" w:cs="宋体"/>
          <w:bCs/>
          <w:sz w:val="24"/>
          <w:szCs w:val="24"/>
          <w:lang w:val="en-US" w:eastAsia="zh-CN"/>
        </w:rPr>
        <w:t>受让方</w:t>
      </w:r>
      <w:r>
        <w:rPr>
          <w:rFonts w:hint="eastAsia" w:ascii="宋体" w:hAnsi="宋体" w:eastAsia="宋体" w:cs="宋体"/>
          <w:bCs/>
          <w:sz w:val="24"/>
          <w:szCs w:val="24"/>
          <w:lang w:val="en-US" w:eastAsia="zh-CN"/>
        </w:rPr>
        <w:t>自行承担。</w:t>
      </w:r>
    </w:p>
    <w:p>
      <w:pPr>
        <w:keepNext w:val="0"/>
        <w:keepLines w:val="0"/>
        <w:pageBreakBefore w:val="0"/>
        <w:numPr>
          <w:ilvl w:val="0"/>
          <w:numId w:val="0"/>
        </w:numPr>
        <w:kinsoku/>
        <w:wordWrap/>
        <w:overflowPunct/>
        <w:topLinePunct w:val="0"/>
        <w:autoSpaceDE/>
        <w:autoSpaceDN/>
        <w:bidi w:val="0"/>
        <w:spacing w:line="400" w:lineRule="exact"/>
        <w:ind w:firstLine="482" w:firstLineChars="200"/>
        <w:textAlignment w:val="auto"/>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二十九、本规则受让方需盖骑缝章。</w:t>
      </w:r>
    </w:p>
    <w:tbl>
      <w:tblPr>
        <w:tblStyle w:val="6"/>
        <w:tblpPr w:leftFromText="180" w:rightFromText="180" w:vertAnchor="text" w:horzAnchor="page" w:tblpX="2500" w:tblpY="105"/>
        <w:tblOverlap w:val="never"/>
        <w:tblW w:w="7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4" w:hRule="atLeast"/>
        </w:trPr>
        <w:tc>
          <w:tcPr>
            <w:tcW w:w="7704" w:type="dxa"/>
            <w:noWrap w:val="0"/>
            <w:vAlign w:val="top"/>
          </w:tcPr>
          <w:p>
            <w:pPr>
              <w:keepNext w:val="0"/>
              <w:keepLines w:val="0"/>
              <w:pageBreakBefore w:val="0"/>
              <w:numPr>
                <w:ilvl w:val="0"/>
                <w:numId w:val="0"/>
              </w:numPr>
              <w:kinsoku/>
              <w:wordWrap/>
              <w:overflowPunct/>
              <w:topLinePunct w:val="0"/>
              <w:autoSpaceDE/>
              <w:autoSpaceDN/>
              <w:bidi w:val="0"/>
              <w:spacing w:line="400" w:lineRule="exact"/>
              <w:ind w:left="420" w:leftChars="0"/>
              <w:jc w:val="left"/>
              <w:textAlignment w:val="auto"/>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三十、免责声明：</w:t>
            </w:r>
          </w:p>
          <w:p>
            <w:pPr>
              <w:keepNext w:val="0"/>
              <w:keepLines w:val="0"/>
              <w:pageBreakBefore w:val="0"/>
              <w:numPr>
                <w:ilvl w:val="0"/>
                <w:numId w:val="0"/>
              </w:numPr>
              <w:kinsoku/>
              <w:wordWrap/>
              <w:overflowPunct/>
              <w:topLinePunct w:val="0"/>
              <w:autoSpaceDE/>
              <w:autoSpaceDN/>
              <w:bidi w:val="0"/>
              <w:spacing w:line="400" w:lineRule="exact"/>
              <w:ind w:firstLine="482" w:firstLineChars="200"/>
              <w:jc w:val="left"/>
              <w:textAlignment w:val="auto"/>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1、本次交易活动所披露的评估报告、审计报告、鉴定意见等资料仅是确定转让标的物底价的参考，不是转让方、兴菏公司对标的物品质、质量和数量的保证和承诺，受让方应当充分预估其中风险并自行承担责任。</w:t>
            </w:r>
          </w:p>
          <w:p>
            <w:pPr>
              <w:keepNext w:val="0"/>
              <w:keepLines w:val="0"/>
              <w:pageBreakBefore w:val="0"/>
              <w:numPr>
                <w:ilvl w:val="0"/>
                <w:numId w:val="0"/>
              </w:numPr>
              <w:kinsoku/>
              <w:wordWrap/>
              <w:overflowPunct/>
              <w:topLinePunct w:val="0"/>
              <w:autoSpaceDE/>
              <w:autoSpaceDN/>
              <w:bidi w:val="0"/>
              <w:spacing w:line="400" w:lineRule="exact"/>
              <w:ind w:firstLine="482" w:firstLineChars="200"/>
              <w:jc w:val="left"/>
              <w:textAlignment w:val="auto"/>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2、转让方和兴菏公司不能保证转让标的物的真伪、品质和具体数量，不承担瑕疵担保责任。</w:t>
            </w:r>
          </w:p>
          <w:p>
            <w:pPr>
              <w:keepNext w:val="0"/>
              <w:keepLines w:val="0"/>
              <w:pageBreakBefore w:val="0"/>
              <w:numPr>
                <w:ilvl w:val="0"/>
                <w:numId w:val="0"/>
              </w:numPr>
              <w:kinsoku/>
              <w:wordWrap/>
              <w:overflowPunct/>
              <w:topLinePunct w:val="0"/>
              <w:autoSpaceDE/>
              <w:autoSpaceDN/>
              <w:bidi w:val="0"/>
              <w:spacing w:line="400" w:lineRule="exact"/>
              <w:ind w:firstLine="482" w:firstLineChars="200"/>
              <w:jc w:val="left"/>
              <w:textAlignment w:val="auto"/>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3、转让标的物在合同成立时，以转让合同成立时的现状移交给受让方，相关风险同时转移给受让方。事后双方如办理标的物移交手续，该相关手续仅是对移交事实的确认。因标的物的特殊性，具有随时被盗、灭失等导致价值贬损的风险，移交时标的物的现状与评估或受让方考察时的状况不一致的，以移交时的现状为准，受让方不得以标的物状况发生变化而主张合同无效或要求转让方和兴菏公司补偿。</w:t>
            </w:r>
            <w:r>
              <w:rPr>
                <w:rFonts w:hint="eastAsia" w:ascii="黑体" w:hAnsi="黑体" w:eastAsia="黑体" w:cs="黑体"/>
                <w:b/>
                <w:bCs w:val="0"/>
                <w:sz w:val="24"/>
                <w:szCs w:val="24"/>
                <w:u w:val="none"/>
                <w:lang w:val="en-US" w:eastAsia="zh-CN"/>
              </w:rPr>
              <w:t xml:space="preserve"> </w:t>
            </w:r>
          </w:p>
          <w:p>
            <w:pPr>
              <w:keepNext w:val="0"/>
              <w:keepLines w:val="0"/>
              <w:pageBreakBefore w:val="0"/>
              <w:kinsoku/>
              <w:wordWrap/>
              <w:overflowPunct/>
              <w:topLinePunct w:val="0"/>
              <w:autoSpaceDE/>
              <w:autoSpaceDN/>
              <w:bidi w:val="0"/>
              <w:spacing w:line="400" w:lineRule="exact"/>
              <w:ind w:firstLine="482" w:firstLineChars="200"/>
              <w:jc w:val="left"/>
              <w:textAlignment w:val="auto"/>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您如果同意本规则并参加竞买，请您将下面一段话抄写在下方空白处，然后签字盖章。</w:t>
            </w:r>
          </w:p>
          <w:p>
            <w:pPr>
              <w:keepNext w:val="0"/>
              <w:keepLines w:val="0"/>
              <w:pageBreakBefore w:val="0"/>
              <w:numPr>
                <w:ilvl w:val="0"/>
                <w:numId w:val="0"/>
              </w:numPr>
              <w:kinsoku/>
              <w:wordWrap/>
              <w:overflowPunct/>
              <w:topLinePunct w:val="0"/>
              <w:autoSpaceDE/>
              <w:autoSpaceDN/>
              <w:bidi w:val="0"/>
              <w:spacing w:line="400" w:lineRule="exact"/>
              <w:ind w:firstLine="482" w:firstLineChars="200"/>
              <w:jc w:val="left"/>
              <w:textAlignment w:val="auto"/>
              <w:rPr>
                <w:rFonts w:hint="default" w:ascii="黑体" w:hAnsi="黑体" w:eastAsia="黑体" w:cs="黑体"/>
                <w:b/>
                <w:bCs/>
                <w:i/>
                <w:iCs/>
                <w:sz w:val="24"/>
                <w:szCs w:val="24"/>
                <w:u w:val="single"/>
                <w:lang w:val="en-US" w:eastAsia="zh-CN"/>
              </w:rPr>
            </w:pPr>
            <w:r>
              <w:rPr>
                <w:rFonts w:hint="eastAsia" w:ascii="黑体" w:hAnsi="黑体" w:eastAsia="黑体" w:cs="黑体"/>
                <w:b/>
                <w:bCs/>
                <w:i/>
                <w:iCs/>
                <w:sz w:val="24"/>
                <w:szCs w:val="24"/>
                <w:u w:val="single"/>
                <w:lang w:val="en-US" w:eastAsia="zh-CN"/>
              </w:rPr>
              <w:t>我（单位）已充分知悉标的物的瑕疵。兴菏公司已就免责声明的内容向我（单位）作了充分的提示和说明，我（单位）充分了解其内容，自愿承担法律后果，并且不得以评估报告与实物不符为由向转让方或兴菏公司主张任何权利。</w:t>
            </w:r>
          </w:p>
          <w:p>
            <w:pPr>
              <w:keepNext w:val="0"/>
              <w:keepLines w:val="0"/>
              <w:pageBreakBefore w:val="0"/>
              <w:kinsoku/>
              <w:wordWrap/>
              <w:overflowPunct/>
              <w:topLinePunct w:val="0"/>
              <w:autoSpaceDE/>
              <w:autoSpaceDN/>
              <w:bidi w:val="0"/>
              <w:spacing w:line="400" w:lineRule="exact"/>
              <w:jc w:val="both"/>
              <w:textAlignment w:val="auto"/>
              <w:rPr>
                <w:rFonts w:hint="eastAsia" w:ascii="黑体" w:hAnsi="黑体" w:eastAsia="黑体" w:cs="黑体"/>
                <w:b/>
                <w:bCs w:val="0"/>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400" w:lineRule="exact"/>
              <w:ind w:firstLine="482" w:firstLineChars="200"/>
              <w:textAlignment w:val="auto"/>
              <w:rPr>
                <w:rFonts w:hint="eastAsia" w:ascii="黑体" w:hAnsi="黑体" w:eastAsia="黑体" w:cs="黑体"/>
                <w:b/>
                <w:bCs w:val="0"/>
                <w:i/>
                <w:iCs/>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400" w:lineRule="exact"/>
              <w:jc w:val="left"/>
              <w:textAlignment w:val="auto"/>
              <w:rPr>
                <w:rFonts w:hint="eastAsia" w:ascii="黑体" w:hAnsi="黑体" w:eastAsia="黑体" w:cs="黑体"/>
                <w:b/>
                <w:bCs/>
                <w:sz w:val="24"/>
                <w:szCs w:val="24"/>
                <w:lang w:val="en-US" w:eastAsia="zh-CN"/>
              </w:rPr>
            </w:pPr>
          </w:p>
          <w:p>
            <w:pPr>
              <w:keepNext w:val="0"/>
              <w:keepLines w:val="0"/>
              <w:pageBreakBefore w:val="0"/>
              <w:kinsoku/>
              <w:wordWrap/>
              <w:overflowPunct/>
              <w:topLinePunct w:val="0"/>
              <w:autoSpaceDE/>
              <w:autoSpaceDN/>
              <w:bidi w:val="0"/>
              <w:spacing w:line="400" w:lineRule="exact"/>
              <w:jc w:val="both"/>
              <w:textAlignment w:val="auto"/>
              <w:rPr>
                <w:rFonts w:hint="eastAsia" w:ascii="黑体" w:hAnsi="黑体" w:eastAsia="黑体" w:cs="黑体"/>
                <w:b/>
                <w:bCs w:val="0"/>
                <w:sz w:val="24"/>
                <w:szCs w:val="24"/>
                <w:u w:val="none"/>
                <w:lang w:val="en-US" w:eastAsia="zh-CN"/>
              </w:rPr>
            </w:pPr>
          </w:p>
          <w:p>
            <w:pPr>
              <w:keepNext w:val="0"/>
              <w:keepLines w:val="0"/>
              <w:pageBreakBefore w:val="0"/>
              <w:kinsoku/>
              <w:wordWrap/>
              <w:overflowPunct/>
              <w:topLinePunct w:val="0"/>
              <w:autoSpaceDE/>
              <w:autoSpaceDN/>
              <w:bidi w:val="0"/>
              <w:spacing w:line="400" w:lineRule="exact"/>
              <w:jc w:val="both"/>
              <w:textAlignment w:val="auto"/>
              <w:rPr>
                <w:rFonts w:hint="eastAsia" w:ascii="黑体" w:hAnsi="黑体" w:eastAsia="黑体" w:cs="黑体"/>
                <w:b/>
                <w:bCs w:val="0"/>
                <w:sz w:val="24"/>
                <w:szCs w:val="24"/>
                <w:u w:val="none"/>
                <w:lang w:val="en-US" w:eastAsia="zh-CN"/>
              </w:rPr>
            </w:pPr>
          </w:p>
          <w:p>
            <w:pPr>
              <w:keepNext w:val="0"/>
              <w:keepLines w:val="0"/>
              <w:pageBreakBefore w:val="0"/>
              <w:kinsoku/>
              <w:wordWrap/>
              <w:overflowPunct/>
              <w:topLinePunct w:val="0"/>
              <w:autoSpaceDE/>
              <w:autoSpaceDN/>
              <w:bidi w:val="0"/>
              <w:spacing w:line="400" w:lineRule="exact"/>
              <w:jc w:val="both"/>
              <w:textAlignment w:val="auto"/>
              <w:rPr>
                <w:rFonts w:hint="eastAsia" w:ascii="黑体" w:hAnsi="黑体" w:eastAsia="黑体" w:cs="黑体"/>
                <w:b/>
                <w:bCs w:val="0"/>
                <w:sz w:val="24"/>
                <w:szCs w:val="24"/>
                <w:u w:val="none"/>
                <w:lang w:val="en-US" w:eastAsia="zh-CN"/>
              </w:rPr>
            </w:pPr>
            <w:r>
              <w:rPr>
                <w:rFonts w:hint="eastAsia" w:ascii="黑体" w:hAnsi="黑体" w:eastAsia="黑体" w:cs="黑体"/>
                <w:b/>
                <w:bCs w:val="0"/>
                <w:sz w:val="24"/>
                <w:szCs w:val="24"/>
                <w:u w:val="none"/>
                <w:lang w:val="en-US" w:eastAsia="zh-CN"/>
              </w:rPr>
              <w:t xml:space="preserve">     </w:t>
            </w:r>
          </w:p>
          <w:p>
            <w:pPr>
              <w:keepNext w:val="0"/>
              <w:keepLines w:val="0"/>
              <w:pageBreakBefore w:val="0"/>
              <w:numPr>
                <w:ilvl w:val="0"/>
                <w:numId w:val="0"/>
              </w:numPr>
              <w:kinsoku/>
              <w:wordWrap/>
              <w:overflowPunct/>
              <w:topLinePunct w:val="0"/>
              <w:autoSpaceDE/>
              <w:autoSpaceDN/>
              <w:bidi w:val="0"/>
              <w:spacing w:line="400" w:lineRule="exact"/>
              <w:ind w:firstLine="3373" w:firstLineChars="1400"/>
              <w:jc w:val="both"/>
              <w:textAlignment w:val="auto"/>
              <w:rPr>
                <w:rFonts w:hint="eastAsia" w:ascii="黑体" w:hAnsi="黑体" w:eastAsia="黑体" w:cs="黑体"/>
                <w:b/>
                <w:bCs w:val="0"/>
                <w:sz w:val="24"/>
                <w:szCs w:val="24"/>
                <w:u w:val="none"/>
                <w:lang w:val="en-US" w:eastAsia="zh-CN"/>
              </w:rPr>
            </w:pPr>
            <w:r>
              <w:rPr>
                <w:rFonts w:hint="eastAsia" w:ascii="黑体" w:hAnsi="黑体" w:eastAsia="黑体" w:cs="黑体"/>
                <w:b/>
                <w:bCs w:val="0"/>
                <w:sz w:val="24"/>
                <w:szCs w:val="24"/>
                <w:u w:val="none"/>
                <w:lang w:val="en-US" w:eastAsia="zh-CN"/>
              </w:rPr>
              <w:t>受让方签字(盖章)：</w:t>
            </w:r>
          </w:p>
        </w:tc>
      </w:tr>
    </w:tbl>
    <w:p>
      <w:pPr>
        <w:keepNext w:val="0"/>
        <w:keepLines w:val="0"/>
        <w:pageBreakBefore w:val="0"/>
        <w:numPr>
          <w:ilvl w:val="0"/>
          <w:numId w:val="0"/>
        </w:numPr>
        <w:kinsoku/>
        <w:wordWrap/>
        <w:overflowPunct/>
        <w:topLinePunct w:val="0"/>
        <w:autoSpaceDE/>
        <w:autoSpaceDN/>
        <w:bidi w:val="0"/>
        <w:spacing w:line="400" w:lineRule="exact"/>
        <w:jc w:val="left"/>
        <w:textAlignment w:val="auto"/>
        <w:rPr>
          <w:rFonts w:hint="eastAsia" w:ascii="宋体" w:hAnsi="宋体" w:eastAsia="宋体" w:cs="宋体"/>
          <w:b/>
          <w:bCs w:val="0"/>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400" w:lineRule="exact"/>
        <w:ind w:firstLine="482" w:firstLineChars="200"/>
        <w:jc w:val="left"/>
        <w:textAlignment w:val="auto"/>
        <w:rPr>
          <w:rFonts w:hint="eastAsia" w:ascii="宋体" w:hAnsi="宋体" w:eastAsia="宋体" w:cs="宋体"/>
          <w:b/>
          <w:bCs w:val="0"/>
          <w:sz w:val="24"/>
          <w:szCs w:val="24"/>
          <w:u w:val="none"/>
          <w:lang w:val="en-US" w:eastAsia="zh-CN"/>
        </w:rPr>
      </w:pPr>
      <w:r>
        <w:rPr>
          <w:rFonts w:hint="eastAsia" w:ascii="宋体" w:hAnsi="宋体" w:cs="宋体"/>
          <w:b/>
          <w:bCs w:val="0"/>
          <w:sz w:val="24"/>
          <w:szCs w:val="24"/>
          <w:u w:val="none"/>
          <w:lang w:val="en-US" w:eastAsia="zh-CN"/>
        </w:rPr>
        <w:t>受让方</w:t>
      </w:r>
      <w:r>
        <w:rPr>
          <w:rFonts w:hint="eastAsia" w:ascii="宋体" w:hAnsi="宋体" w:eastAsia="宋体" w:cs="宋体"/>
          <w:b/>
          <w:bCs w:val="0"/>
          <w:sz w:val="24"/>
          <w:szCs w:val="24"/>
          <w:u w:val="none"/>
          <w:lang w:val="en-US" w:eastAsia="zh-CN"/>
        </w:rPr>
        <w:t>签字(盖章)：</w:t>
      </w:r>
    </w:p>
    <w:p>
      <w:pPr>
        <w:keepNext w:val="0"/>
        <w:keepLines w:val="0"/>
        <w:pageBreakBefore w:val="0"/>
        <w:numPr>
          <w:ilvl w:val="0"/>
          <w:numId w:val="0"/>
        </w:numPr>
        <w:kinsoku/>
        <w:wordWrap/>
        <w:overflowPunct/>
        <w:topLinePunct w:val="0"/>
        <w:autoSpaceDE/>
        <w:autoSpaceDN/>
        <w:bidi w:val="0"/>
        <w:spacing w:line="400" w:lineRule="exact"/>
        <w:ind w:firstLine="480" w:firstLineChars="20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400" w:lineRule="exact"/>
        <w:ind w:firstLine="480"/>
        <w:jc w:val="left"/>
        <w:textAlignment w:val="auto"/>
        <w:rPr>
          <w:rFonts w:hint="eastAsia" w:ascii="宋体" w:hAnsi="宋体" w:eastAsia="宋体" w:cs="宋体"/>
          <w:bCs/>
          <w:sz w:val="24"/>
          <w:szCs w:val="24"/>
          <w:lang w:val="en-US" w:eastAsia="zh-CN"/>
        </w:rPr>
      </w:pPr>
      <w:r>
        <w:rPr>
          <w:rFonts w:hint="eastAsia" w:ascii="宋体" w:hAnsi="宋体" w:cs="宋体"/>
          <w:b/>
          <w:bCs w:val="0"/>
          <w:sz w:val="24"/>
          <w:szCs w:val="24"/>
          <w:u w:val="none"/>
          <w:lang w:val="en-US" w:eastAsia="zh-CN"/>
        </w:rPr>
        <w:t>邮箱：</w:t>
      </w:r>
      <w:r>
        <w:rPr>
          <w:rFonts w:hint="eastAsia" w:ascii="宋体" w:hAnsi="宋体" w:eastAsia="宋体" w:cs="宋体"/>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400" w:lineRule="exact"/>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菏泽市兴菏国有产权交易有限责任公司</w:t>
      </w:r>
    </w:p>
    <w:p>
      <w:pPr>
        <w:keepNext w:val="0"/>
        <w:keepLines w:val="0"/>
        <w:pageBreakBefore w:val="0"/>
        <w:kinsoku/>
        <w:wordWrap/>
        <w:overflowPunct/>
        <w:topLinePunct w:val="0"/>
        <w:autoSpaceDE/>
        <w:autoSpaceDN/>
        <w:bidi w:val="0"/>
        <w:spacing w:line="400" w:lineRule="exact"/>
        <w:ind w:left="6000" w:hanging="6000" w:hangingChars="2500"/>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w:t>
      </w:r>
      <w:r>
        <w:rPr>
          <w:rFonts w:hint="eastAsia" w:ascii="宋体" w:hAnsi="宋体" w:cs="宋体"/>
          <w:bCs/>
          <w:sz w:val="24"/>
          <w:szCs w:val="24"/>
          <w:lang w:val="en-US" w:eastAsia="zh-CN"/>
        </w:rPr>
        <w:t xml:space="preserve">         </w:t>
      </w:r>
      <w:r>
        <w:rPr>
          <w:rFonts w:hint="eastAsia" w:ascii="宋体" w:hAnsi="宋体" w:cs="宋体"/>
          <w:kern w:val="0"/>
          <w:sz w:val="21"/>
          <w:szCs w:val="21"/>
          <w:lang w:val="en-US" w:eastAsia="zh-CN" w:bidi="ar"/>
        </w:rPr>
        <w:t>山东翰光拍卖有限公司</w:t>
      </w:r>
      <w:r>
        <w:rPr>
          <w:rFonts w:hint="eastAsia" w:ascii="宋体" w:hAnsi="宋体" w:eastAsia="宋体" w:cs="宋体"/>
          <w:bCs/>
          <w:sz w:val="24"/>
          <w:szCs w:val="24"/>
        </w:rPr>
        <w:t xml:space="preserve">        </w:t>
      </w:r>
    </w:p>
    <w:p>
      <w:pPr>
        <w:keepNext w:val="0"/>
        <w:keepLines w:val="0"/>
        <w:pageBreakBefore w:val="0"/>
        <w:kinsoku/>
        <w:wordWrap/>
        <w:overflowPunct/>
        <w:topLinePunct w:val="0"/>
        <w:autoSpaceDE/>
        <w:autoSpaceDN/>
        <w:bidi w:val="0"/>
        <w:spacing w:line="400" w:lineRule="exact"/>
        <w:ind w:left="5987" w:leftChars="2508" w:hanging="720" w:hangingChars="300"/>
        <w:jc w:val="left"/>
        <w:textAlignment w:val="auto"/>
      </w:pPr>
      <w:r>
        <w:rPr>
          <w:rFonts w:hint="eastAsia" w:ascii="宋体" w:hAnsi="宋体" w:eastAsia="宋体" w:cs="宋体"/>
          <w:bCs/>
          <w:sz w:val="24"/>
          <w:szCs w:val="24"/>
        </w:rPr>
        <w:t>20</w:t>
      </w:r>
      <w:r>
        <w:rPr>
          <w:rFonts w:hint="eastAsia" w:ascii="宋体" w:hAnsi="宋体" w:eastAsia="宋体" w:cs="宋体"/>
          <w:bCs/>
          <w:sz w:val="24"/>
          <w:szCs w:val="24"/>
          <w:lang w:val="en-US" w:eastAsia="zh-CN"/>
        </w:rPr>
        <w:t>2</w:t>
      </w:r>
      <w:r>
        <w:rPr>
          <w:rFonts w:hint="eastAsia" w:ascii="宋体" w:hAnsi="宋体" w:cs="宋体"/>
          <w:bCs/>
          <w:sz w:val="24"/>
          <w:szCs w:val="24"/>
          <w:lang w:val="en-US" w:eastAsia="zh-CN"/>
        </w:rPr>
        <w:t>1</w:t>
      </w:r>
      <w:r>
        <w:rPr>
          <w:rFonts w:hint="eastAsia" w:ascii="宋体" w:hAnsi="宋体" w:eastAsia="宋体" w:cs="宋体"/>
          <w:bCs/>
          <w:sz w:val="24"/>
          <w:szCs w:val="24"/>
        </w:rPr>
        <w:t>年</w:t>
      </w:r>
      <w:r>
        <w:rPr>
          <w:rFonts w:hint="eastAsia" w:ascii="宋体" w:hAnsi="宋体" w:cs="宋体"/>
          <w:bCs/>
          <w:sz w:val="24"/>
          <w:szCs w:val="24"/>
          <w:lang w:val="en-US" w:eastAsia="zh-CN"/>
        </w:rPr>
        <w:t>3</w:t>
      </w:r>
      <w:r>
        <w:rPr>
          <w:rFonts w:hint="eastAsia" w:ascii="宋体" w:hAnsi="宋体" w:eastAsia="宋体" w:cs="宋体"/>
          <w:bCs/>
          <w:sz w:val="24"/>
          <w:szCs w:val="24"/>
        </w:rPr>
        <w:t>月</w:t>
      </w:r>
      <w:r>
        <w:rPr>
          <w:rFonts w:hint="eastAsia" w:ascii="宋体" w:hAnsi="宋体" w:cs="宋体"/>
          <w:bCs/>
          <w:sz w:val="24"/>
          <w:szCs w:val="24"/>
          <w:lang w:val="en-US" w:eastAsia="zh-CN"/>
        </w:rPr>
        <w:t>31</w:t>
      </w:r>
      <w:r>
        <w:rPr>
          <w:rFonts w:hint="eastAsia" w:ascii="宋体" w:hAnsi="宋体" w:eastAsia="宋体" w:cs="宋体"/>
          <w:bCs/>
          <w:sz w:val="24"/>
          <w:szCs w:val="24"/>
        </w:rPr>
        <w:t>日</w:t>
      </w:r>
      <w:bookmarkEnd w:id="0"/>
      <w:bookmarkEnd w:id="1"/>
    </w:p>
    <w:p>
      <w:pPr>
        <w:keepNext w:val="0"/>
        <w:keepLines w:val="0"/>
        <w:pageBreakBefore w:val="0"/>
        <w:kinsoku/>
        <w:wordWrap/>
        <w:overflowPunct/>
        <w:topLinePunct w:val="0"/>
        <w:autoSpaceDE/>
        <w:autoSpaceDN/>
        <w:bidi w:val="0"/>
        <w:spacing w:line="400" w:lineRule="exact"/>
        <w:textAlignment w:val="auto"/>
      </w:pPr>
    </w:p>
    <w:sectPr>
      <w:footerReference r:id="rId3" w:type="default"/>
      <w:pgSz w:w="11906" w:h="16838"/>
      <w:pgMar w:top="1440" w:right="1800" w:bottom="1440" w:left="1800" w:header="851" w:footer="992" w:gutter="567"/>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5CED8"/>
    <w:multiLevelType w:val="singleLevel"/>
    <w:tmpl w:val="3EB5CED8"/>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467F0"/>
    <w:rsid w:val="03A220A3"/>
    <w:rsid w:val="04687126"/>
    <w:rsid w:val="18E17EA2"/>
    <w:rsid w:val="1BC868D5"/>
    <w:rsid w:val="21065AE2"/>
    <w:rsid w:val="2C6F4BB3"/>
    <w:rsid w:val="32141C2D"/>
    <w:rsid w:val="33D51ADA"/>
    <w:rsid w:val="3427497B"/>
    <w:rsid w:val="3543386D"/>
    <w:rsid w:val="35C62C71"/>
    <w:rsid w:val="389170CF"/>
    <w:rsid w:val="40B80FFC"/>
    <w:rsid w:val="43085810"/>
    <w:rsid w:val="489904CD"/>
    <w:rsid w:val="5604600E"/>
    <w:rsid w:val="5CBA02FF"/>
    <w:rsid w:val="5D99591A"/>
    <w:rsid w:val="5DA36064"/>
    <w:rsid w:val="5DFF346F"/>
    <w:rsid w:val="5EDE6A22"/>
    <w:rsid w:val="61A02BB8"/>
    <w:rsid w:val="61B84701"/>
    <w:rsid w:val="668B3DC6"/>
    <w:rsid w:val="70A4325B"/>
    <w:rsid w:val="786A1DB1"/>
    <w:rsid w:val="791F52C3"/>
    <w:rsid w:val="7A3E6D34"/>
    <w:rsid w:val="7CBF3648"/>
    <w:rsid w:val="7EA1663A"/>
    <w:rsid w:val="7F1C3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Autospacing="1" w:afterAutospacing="1"/>
      <w:jc w:val="left"/>
    </w:pPr>
    <w:rPr>
      <w:rFonts w:cs="Times New Roman"/>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2020-06-11T02:04:00Z</dcterms:created>
  <dc:creator>Administrator</dc:creator>
  <cp:lastModifiedBy>江上仙</cp:lastModifiedBy>
  <cp:lastPrinted>2021-02-18T07:17:00Z</cp:lastPrinted>
  <dcterms:modified xsi:type="dcterms:W3CDTF">2021-03-31T09:08:15Z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9B5D0D232FBF48BA8D8CC1982B03A703</vt:lpwstr>
  </property>
</Properties>
</file>