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拍卖规则</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一、本规则根据《中华人民共和国拍卖法》及相关法律、法规，并遵循“公开、公平、公正、诚实信用”原则及价高者得规则制定。</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二、竞买人入场后应当遵守场内公共秩序，不得阻挠其他竞买人叫价竞买，不得阻碍拍卖人进行正常的拍卖工作，更不能有操纵、垄断等违法行为，一经发现，将取消其竞买资格，并追究其法律责任。</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三、拍卖标的：</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标的一：金砖摆件（月饼形状，1大7小，共32.52克）、千足金动物摆件（品牌：周大福、4.69克）                                </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标的二：OMEGA手表两块、联想笔记本电脑一台（型号：3000G430）。</w:t>
      </w:r>
    </w:p>
    <w:p>
      <w:pPr>
        <w:spacing w:line="120" w:lineRule="auto"/>
        <w:ind w:left="7200" w:leftChars="150" w:hanging="6720" w:hangingChars="28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标的三：山东一卡通购物卡5000面值12张、2000面值2张、1000面值1张。                               </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详见</w:t>
      </w:r>
      <w:bookmarkStart w:id="0" w:name="bianhao"/>
      <w:r>
        <w:rPr>
          <w:rFonts w:hint="eastAsia" w:ascii="宋体" w:hAnsi="宋体" w:eastAsia="宋体" w:cs="宋体"/>
          <w:bCs/>
          <w:sz w:val="24"/>
          <w:szCs w:val="24"/>
          <w:lang w:val="en-US" w:eastAsia="zh-CN"/>
        </w:rPr>
        <w:t>《估价报告》</w:t>
      </w:r>
      <w:bookmarkEnd w:id="0"/>
      <w:r>
        <w:rPr>
          <w:rFonts w:hint="eastAsia" w:ascii="宋体" w:hAnsi="宋体" w:eastAsia="宋体" w:cs="宋体"/>
          <w:bCs/>
          <w:sz w:val="24"/>
          <w:szCs w:val="24"/>
          <w:lang w:val="en-US" w:eastAsia="zh-CN"/>
        </w:rPr>
        <w:t>鲁中慧评字[2019]第174号。     </w:t>
      </w:r>
    </w:p>
    <w:p>
      <w:pPr>
        <w:pStyle w:val="4"/>
        <w:widowControl/>
        <w:spacing w:beforeAutospacing="0" w:afterAutospacing="0" w:line="12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lang w:val="en-US" w:eastAsia="zh-CN"/>
        </w:rPr>
        <w:t>四</w:t>
      </w:r>
      <w:r>
        <w:rPr>
          <w:rFonts w:hint="eastAsia" w:ascii="宋体" w:hAnsi="宋体" w:eastAsia="宋体" w:cs="宋体"/>
          <w:bCs/>
        </w:rPr>
        <w:t>、</w:t>
      </w:r>
      <w:r>
        <w:rPr>
          <w:rFonts w:hint="eastAsia" w:ascii="宋体" w:hAnsi="宋体" w:eastAsia="宋体" w:cs="宋体"/>
          <w:bCs/>
          <w:kern w:val="2"/>
        </w:rPr>
        <w:t>竞买</w:t>
      </w:r>
      <w:r>
        <w:rPr>
          <w:rFonts w:hint="eastAsia" w:ascii="宋体" w:hAnsi="宋体" w:eastAsia="宋体" w:cs="宋体"/>
          <w:bCs/>
          <w:kern w:val="2"/>
          <w:lang w:val="en-US" w:eastAsia="zh-CN"/>
        </w:rPr>
        <w:t>不</w:t>
      </w:r>
      <w:r>
        <w:rPr>
          <w:rFonts w:hint="eastAsia" w:ascii="宋体" w:hAnsi="宋体" w:eastAsia="宋体" w:cs="宋体"/>
          <w:bCs/>
          <w:kern w:val="2"/>
        </w:rPr>
        <w:t>成功</w:t>
      </w:r>
      <w:r>
        <w:rPr>
          <w:rFonts w:hint="eastAsia" w:ascii="宋体" w:hAnsi="宋体" w:eastAsia="宋体" w:cs="宋体"/>
          <w:bCs/>
          <w:kern w:val="2"/>
          <w:lang w:val="en-US" w:eastAsia="zh-CN"/>
        </w:rPr>
        <w:t>的</w:t>
      </w:r>
      <w:r>
        <w:rPr>
          <w:rFonts w:hint="eastAsia" w:ascii="宋体" w:hAnsi="宋体" w:eastAsia="宋体" w:cs="宋体"/>
          <w:bCs/>
          <w:kern w:val="2"/>
        </w:rPr>
        <w:t>，</w:t>
      </w:r>
      <w:r>
        <w:rPr>
          <w:rFonts w:hint="eastAsia" w:ascii="宋体" w:hAnsi="宋体" w:eastAsia="宋体" w:cs="宋体"/>
          <w:bCs/>
          <w:kern w:val="2"/>
          <w:lang w:val="en-US" w:eastAsia="zh-CN"/>
        </w:rPr>
        <w:t>竞买保证金</w:t>
      </w:r>
      <w:r>
        <w:rPr>
          <w:rFonts w:hint="eastAsia" w:ascii="宋体" w:hAnsi="宋体" w:eastAsia="宋体" w:cs="宋体"/>
          <w:bCs/>
          <w:kern w:val="2"/>
        </w:rPr>
        <w:t>将于</w:t>
      </w:r>
      <w:r>
        <w:rPr>
          <w:rFonts w:hint="eastAsia" w:ascii="宋体" w:hAnsi="宋体" w:eastAsia="宋体" w:cs="宋体"/>
          <w:bCs/>
          <w:kern w:val="2"/>
          <w:lang w:val="en-US" w:eastAsia="zh-CN"/>
        </w:rPr>
        <w:t>拍卖会后</w:t>
      </w:r>
      <w:r>
        <w:rPr>
          <w:rFonts w:hint="eastAsia" w:ascii="宋体" w:hAnsi="宋体" w:eastAsia="宋体" w:cs="宋体"/>
          <w:bCs/>
          <w:kern w:val="2"/>
        </w:rPr>
        <w:t>5个工作日内无息</w:t>
      </w:r>
      <w:r>
        <w:rPr>
          <w:rFonts w:hint="eastAsia" w:ascii="宋体" w:hAnsi="宋体" w:eastAsia="宋体" w:cs="宋体"/>
          <w:bCs/>
          <w:kern w:val="2"/>
          <w:lang w:val="en-US" w:eastAsia="zh-CN"/>
        </w:rPr>
        <w:t>退还</w:t>
      </w:r>
      <w:r>
        <w:rPr>
          <w:rFonts w:hint="eastAsia" w:ascii="宋体" w:hAnsi="宋体" w:eastAsia="宋体" w:cs="宋体"/>
          <w:bCs/>
          <w:kern w:val="2"/>
        </w:rPr>
        <w:t>。</w:t>
      </w:r>
    </w:p>
    <w:p>
      <w:pPr>
        <w:spacing w:line="12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五</w:t>
      </w:r>
      <w:r>
        <w:rPr>
          <w:rFonts w:hint="eastAsia" w:ascii="宋体" w:hAnsi="宋体" w:eastAsia="宋体" w:cs="宋体"/>
          <w:bCs/>
          <w:sz w:val="24"/>
          <w:szCs w:val="24"/>
        </w:rPr>
        <w:t>、</w:t>
      </w:r>
      <w:r>
        <w:rPr>
          <w:rFonts w:hint="eastAsia" w:ascii="宋体" w:hAnsi="宋体" w:eastAsia="宋体" w:cs="宋体"/>
          <w:bCs/>
          <w:sz w:val="24"/>
          <w:szCs w:val="24"/>
          <w:lang w:val="en-US" w:eastAsia="zh-CN"/>
        </w:rPr>
        <w:t>拍卖成交后</w:t>
      </w:r>
      <w:r>
        <w:rPr>
          <w:rFonts w:hint="eastAsia" w:ascii="宋体" w:hAnsi="宋体" w:eastAsia="宋体" w:cs="宋体"/>
          <w:bCs/>
          <w:sz w:val="24"/>
          <w:szCs w:val="24"/>
        </w:rPr>
        <w:t>，买受人应当场签署《成交确认书》。</w:t>
      </w:r>
    </w:p>
    <w:p>
      <w:pPr>
        <w:spacing w:line="12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六、拍卖成交后，买受人应在两</w:t>
      </w:r>
      <w:r>
        <w:rPr>
          <w:rFonts w:hint="eastAsia" w:ascii="宋体" w:hAnsi="宋体" w:eastAsia="宋体" w:cs="宋体"/>
          <w:bCs/>
          <w:sz w:val="24"/>
          <w:szCs w:val="24"/>
        </w:rPr>
        <w:t>个工作日内交清成交价款</w:t>
      </w:r>
      <w:r>
        <w:rPr>
          <w:rFonts w:hint="eastAsia" w:ascii="宋体" w:hAnsi="宋体" w:eastAsia="宋体" w:cs="宋体"/>
          <w:bCs/>
          <w:sz w:val="24"/>
          <w:szCs w:val="24"/>
          <w:lang w:val="en-US" w:eastAsia="zh-CN"/>
        </w:rPr>
        <w:t>至委托人指定账户</w:t>
      </w:r>
      <w:r>
        <w:rPr>
          <w:rFonts w:hint="eastAsia" w:ascii="宋体" w:hAnsi="宋体" w:eastAsia="宋体" w:cs="宋体"/>
          <w:bCs/>
          <w:sz w:val="24"/>
          <w:szCs w:val="24"/>
          <w:lang w:eastAsia="zh-CN"/>
        </w:rPr>
        <w:t>。</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七</w:t>
      </w:r>
      <w:r>
        <w:rPr>
          <w:rFonts w:hint="eastAsia" w:ascii="宋体" w:hAnsi="宋体" w:eastAsia="宋体" w:cs="宋体"/>
          <w:bCs/>
          <w:sz w:val="24"/>
          <w:szCs w:val="24"/>
        </w:rPr>
        <w:t>、</w:t>
      </w:r>
      <w:r>
        <w:rPr>
          <w:rFonts w:hint="eastAsia" w:ascii="宋体" w:hAnsi="宋体" w:eastAsia="宋体" w:cs="宋体"/>
          <w:bCs/>
          <w:sz w:val="24"/>
          <w:szCs w:val="24"/>
          <w:lang w:val="en-US" w:eastAsia="zh-CN"/>
        </w:rPr>
        <w:t>拍卖成交后，买受人按照拍卖成交价款的5%的比例向拍卖人支付佣金。</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八、买受人有下列行为之一的，视为违约：</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1、买受人提供虚假失实材料的；</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2、买受人串通或干扰公平竞争扰乱正常拍卖秩序的；</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3、买受人逾期或拒绝签订《成交确认书》、《拍卖笔录》及其他拍卖相关文件的；</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4、买受人逾期或拒绝按照本拍卖规则规定的付款期限支付成交价款和拍卖佣金的。</w:t>
      </w:r>
    </w:p>
    <w:p>
      <w:pPr>
        <w:spacing w:line="120" w:lineRule="auto"/>
        <w:ind w:firstLine="482" w:firstLineChars="200"/>
        <w:rPr>
          <w:rFonts w:hint="eastAsia" w:ascii="宋体" w:hAnsi="宋体" w:eastAsia="宋体" w:cs="宋体"/>
          <w:b/>
          <w:bCs/>
          <w:sz w:val="24"/>
          <w:szCs w:val="24"/>
          <w:u w:val="single"/>
          <w:lang w:val="en-US" w:eastAsia="zh-CN"/>
        </w:rPr>
      </w:pPr>
      <w:r>
        <w:rPr>
          <w:rFonts w:hint="eastAsia" w:ascii="黑体" w:hAnsi="黑体" w:eastAsia="黑体" w:cs="黑体"/>
          <w:b/>
          <w:bCs w:val="0"/>
          <w:sz w:val="24"/>
          <w:szCs w:val="24"/>
          <w:lang w:val="en-US" w:eastAsia="zh-CN"/>
        </w:rPr>
        <w:t>九、买受人违约的，委托人和拍卖人有权取消其买受人资格，并有权不予返还其竞买保证金，买受人交纳的竞买保证金自动转为支付给拍卖人的违约金。因买受人违约，委托人另行出让该标的的，买受人还须根据《中华人民共和国拍卖法》第三十九条第二款之规定承担责任；拍卖标的再行拍卖的，原买受人应当支付第一次拍卖中本人及委托人应当支付的佣金，再行拍卖的价款低于原拍卖价款的，原买受人应当补足差额。</w:t>
      </w:r>
    </w:p>
    <w:p>
      <w:pPr>
        <w:spacing w:line="120" w:lineRule="auto"/>
        <w:ind w:firstLine="482" w:firstLineChars="200"/>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 xml:space="preserve">十、标的三中每张山东一卡通购物卡含5元卡费。 </w:t>
      </w:r>
    </w:p>
    <w:p>
      <w:pPr>
        <w:spacing w:line="12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十一、 买受人须在交易成交日起二日内领取所购买的标的。若买受人未能在交易成交日起二日内领取标的，则因逾期造成对该标的的搬运、储存及保险费用均由买受人承担，且买受人应对其所购标的负全责，即使该标的仍由本公司代为保存，本公司及其工作人员或其代理人对任何原因所致的该标的的毁损、灭失，不负任何责任。</w:t>
      </w:r>
    </w:p>
    <w:p>
      <w:pPr>
        <w:spacing w:line="120" w:lineRule="auto"/>
        <w:ind w:firstLine="480" w:firstLineChars="200"/>
        <w:rPr>
          <w:rFonts w:hint="eastAsia" w:ascii="宋体" w:hAnsi="宋体" w:eastAsia="宋体" w:cs="宋体"/>
          <w:bCs/>
          <w:sz w:val="24"/>
          <w:szCs w:val="24"/>
          <w:lang w:val="en-US" w:eastAsia="zh-CN"/>
        </w:rPr>
      </w:pPr>
    </w:p>
    <w:p>
      <w:pPr>
        <w:spacing w:line="120" w:lineRule="auto"/>
        <w:rPr>
          <w:rFonts w:hint="default" w:ascii="宋体" w:hAnsi="宋体" w:eastAsia="宋体" w:cs="宋体"/>
          <w:bCs/>
          <w:sz w:val="24"/>
          <w:szCs w:val="24"/>
          <w:lang w:val="en-US" w:eastAsia="zh-CN"/>
        </w:rPr>
      </w:pPr>
    </w:p>
    <w:tbl>
      <w:tblPr>
        <w:tblStyle w:val="6"/>
        <w:tblpPr w:leftFromText="180" w:rightFromText="180" w:vertAnchor="text" w:horzAnchor="page" w:tblpX="1642" w:tblpY="10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9" w:hRule="atLeast"/>
        </w:trPr>
        <w:tc>
          <w:tcPr>
            <w:tcW w:w="9300" w:type="dxa"/>
            <w:noWrap w:val="0"/>
            <w:vAlign w:val="top"/>
          </w:tcPr>
          <w:p>
            <w:pPr>
              <w:spacing w:line="120" w:lineRule="auto"/>
              <w:ind w:firstLine="482" w:firstLineChars="200"/>
              <w:jc w:val="left"/>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十二、特别声明：</w:t>
            </w:r>
          </w:p>
          <w:p>
            <w:pPr>
              <w:spacing w:line="120" w:lineRule="auto"/>
              <w:ind w:firstLine="482" w:firstLineChars="200"/>
              <w:jc w:val="left"/>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1、拍卖活动所披露的评估报告、审计报告、鉴定意见等资料仅是确定拍卖标的物起拍价的参考，不是委托人、拍卖人对标的物品质、质量和数量的保证和承诺，竞买人应当充分预估其中风险并自行承担责任。</w:t>
            </w:r>
          </w:p>
          <w:p>
            <w:pPr>
              <w:spacing w:line="120" w:lineRule="auto"/>
              <w:ind w:firstLine="482" w:firstLineChars="200"/>
              <w:jc w:val="left"/>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2、委托人、拍卖人不能保证拍卖标的物的真伪、品质和具体数量，不承担瑕疵担保责任。</w:t>
            </w:r>
          </w:p>
          <w:p>
            <w:pPr>
              <w:spacing w:line="120" w:lineRule="auto"/>
              <w:ind w:firstLine="482" w:firstLineChars="200"/>
              <w:jc w:val="left"/>
              <w:rPr>
                <w:rFonts w:hint="eastAsia" w:ascii="黑体" w:hAnsi="黑体" w:eastAsia="黑体" w:cs="黑体"/>
                <w:b/>
                <w:bCs w:val="0"/>
                <w:sz w:val="28"/>
                <w:szCs w:val="28"/>
                <w:u w:val="none"/>
                <w:lang w:val="en-US" w:eastAsia="zh-CN"/>
              </w:rPr>
            </w:pPr>
            <w:r>
              <w:rPr>
                <w:rFonts w:hint="eastAsia" w:ascii="黑体" w:hAnsi="黑体" w:eastAsia="黑体" w:cs="黑体"/>
                <w:b/>
                <w:bCs w:val="0"/>
                <w:sz w:val="24"/>
                <w:szCs w:val="24"/>
                <w:lang w:val="en-US" w:eastAsia="zh-CN"/>
              </w:rPr>
              <w:t>3、拍卖标的物在合同成立时，以拍卖合同成立时的现状移交给买受人，相关风险同时转移给买受人。事后双方如办理标的物移交手续，该相关手续仅是对移交事实的确认。因标的物的特殊性，具有随时被盗、灭失等导致价值贬损的风险，移交时标的物的现状与评估或买受人考察时的状况不一致的，以移交时的现状为准，买受人不得以标的物状况发生变化而主张合同无效或要求委托人、拍卖人补偿。</w:t>
            </w:r>
            <w:r>
              <w:rPr>
                <w:rFonts w:hint="eastAsia" w:ascii="黑体" w:hAnsi="黑体" w:eastAsia="黑体" w:cs="黑体"/>
                <w:b/>
                <w:bCs w:val="0"/>
                <w:sz w:val="28"/>
                <w:szCs w:val="28"/>
                <w:u w:val="none"/>
                <w:lang w:val="en-US" w:eastAsia="zh-CN"/>
              </w:rPr>
              <w:t xml:space="preserve"> </w:t>
            </w:r>
          </w:p>
          <w:p>
            <w:pPr>
              <w:spacing w:line="120" w:lineRule="auto"/>
              <w:ind w:firstLine="562" w:firstLineChars="200"/>
              <w:jc w:val="left"/>
              <w:rPr>
                <w:rFonts w:hint="eastAsia" w:ascii="黑体" w:hAnsi="黑体" w:eastAsia="黑体" w:cs="黑体"/>
                <w:b/>
                <w:bCs w:val="0"/>
                <w:sz w:val="28"/>
                <w:szCs w:val="28"/>
                <w:u w:val="none"/>
                <w:lang w:val="en-US" w:eastAsia="zh-CN"/>
              </w:rPr>
            </w:pPr>
          </w:p>
          <w:p>
            <w:pPr>
              <w:spacing w:line="120" w:lineRule="auto"/>
              <w:ind w:firstLine="482" w:firstLineChars="200"/>
              <w:jc w:val="left"/>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您如果同意本拍卖规则并参加拍卖，请您将下面一段话抄写在下方空白处，然后签字盖章。</w:t>
            </w:r>
          </w:p>
          <w:p>
            <w:pPr>
              <w:spacing w:line="120" w:lineRule="auto"/>
              <w:ind w:firstLine="482" w:firstLineChars="200"/>
              <w:jc w:val="left"/>
              <w:rPr>
                <w:rFonts w:hint="eastAsia" w:ascii="黑体" w:hAnsi="黑体" w:eastAsia="黑体" w:cs="黑体"/>
                <w:b/>
                <w:bCs w:val="0"/>
                <w:sz w:val="24"/>
                <w:szCs w:val="24"/>
                <w:lang w:val="en-US" w:eastAsia="zh-CN"/>
              </w:rPr>
            </w:pPr>
          </w:p>
          <w:p>
            <w:pPr>
              <w:numPr>
                <w:ilvl w:val="0"/>
                <w:numId w:val="0"/>
              </w:numPr>
              <w:ind w:firstLine="482" w:firstLineChars="200"/>
              <w:rPr>
                <w:rFonts w:hint="eastAsia" w:ascii="黑体" w:hAnsi="黑体" w:eastAsia="黑体" w:cs="黑体"/>
                <w:b/>
                <w:bCs w:val="0"/>
                <w:i/>
                <w:iCs/>
                <w:sz w:val="24"/>
                <w:szCs w:val="28"/>
                <w:u w:val="none"/>
                <w:lang w:val="en-US" w:eastAsia="zh-CN"/>
              </w:rPr>
            </w:pPr>
            <w:r>
              <w:rPr>
                <w:rFonts w:hint="eastAsia" w:ascii="黑体" w:hAnsi="黑体" w:eastAsia="黑体" w:cs="黑体"/>
                <w:b/>
                <w:bCs w:val="0"/>
                <w:i/>
                <w:iCs/>
                <w:sz w:val="24"/>
                <w:szCs w:val="28"/>
                <w:u w:val="single"/>
                <w:lang w:val="en-US" w:eastAsia="zh-CN"/>
              </w:rPr>
              <w:t>拍卖人已就特别声明的内容向我（单位）作了充分说明，我（单位）充分了解其内容，并自愿承担法律后果。</w:t>
            </w:r>
          </w:p>
          <w:p>
            <w:pPr>
              <w:numPr>
                <w:ilvl w:val="0"/>
                <w:numId w:val="0"/>
              </w:numPr>
              <w:spacing w:line="120" w:lineRule="auto"/>
              <w:jc w:val="left"/>
              <w:rPr>
                <w:rFonts w:hint="eastAsia" w:ascii="黑体" w:hAnsi="黑体" w:eastAsia="黑体" w:cs="黑体"/>
                <w:b/>
                <w:bCs/>
                <w:sz w:val="24"/>
                <w:szCs w:val="24"/>
                <w:lang w:val="en-US" w:eastAsia="zh-CN"/>
              </w:rPr>
            </w:pPr>
          </w:p>
          <w:p>
            <w:pPr>
              <w:spacing w:line="120" w:lineRule="auto"/>
              <w:ind w:firstLine="3654" w:firstLineChars="1300"/>
              <w:jc w:val="both"/>
              <w:rPr>
                <w:rFonts w:hint="eastAsia" w:ascii="黑体" w:hAnsi="黑体" w:eastAsia="黑体" w:cs="黑体"/>
                <w:b/>
                <w:bCs w:val="0"/>
                <w:sz w:val="28"/>
                <w:szCs w:val="28"/>
                <w:u w:val="none"/>
                <w:lang w:val="en-US" w:eastAsia="zh-CN"/>
              </w:rPr>
            </w:pPr>
          </w:p>
          <w:p>
            <w:pPr>
              <w:spacing w:line="120" w:lineRule="auto"/>
              <w:ind w:firstLine="3654" w:firstLineChars="1300"/>
              <w:jc w:val="both"/>
              <w:rPr>
                <w:rFonts w:hint="eastAsia" w:ascii="黑体" w:hAnsi="黑体" w:eastAsia="黑体" w:cs="黑体"/>
                <w:b/>
                <w:bCs w:val="0"/>
                <w:sz w:val="28"/>
                <w:szCs w:val="28"/>
                <w:u w:val="none"/>
                <w:lang w:val="en-US" w:eastAsia="zh-CN"/>
              </w:rPr>
            </w:pPr>
          </w:p>
          <w:p>
            <w:pPr>
              <w:spacing w:line="120" w:lineRule="auto"/>
              <w:ind w:firstLine="3654" w:firstLineChars="1300"/>
              <w:jc w:val="both"/>
              <w:rPr>
                <w:rFonts w:hint="eastAsia" w:ascii="黑体" w:hAnsi="黑体" w:eastAsia="黑体" w:cs="黑体"/>
                <w:b/>
                <w:bCs w:val="0"/>
                <w:sz w:val="28"/>
                <w:szCs w:val="28"/>
                <w:u w:val="none"/>
                <w:lang w:val="en-US" w:eastAsia="zh-CN"/>
              </w:rPr>
            </w:pPr>
          </w:p>
          <w:p>
            <w:pPr>
              <w:spacing w:line="120" w:lineRule="auto"/>
              <w:ind w:firstLine="3654" w:firstLineChars="1300"/>
              <w:jc w:val="both"/>
              <w:rPr>
                <w:rFonts w:hint="default" w:ascii="黑体" w:hAnsi="黑体" w:eastAsia="黑体" w:cs="黑体"/>
                <w:b/>
                <w:bCs w:val="0"/>
                <w:sz w:val="28"/>
                <w:szCs w:val="28"/>
                <w:u w:val="none"/>
                <w:lang w:val="en-US" w:eastAsia="zh-CN"/>
              </w:rPr>
            </w:pPr>
            <w:r>
              <w:rPr>
                <w:rFonts w:hint="eastAsia" w:ascii="黑体" w:hAnsi="黑体" w:eastAsia="黑体" w:cs="黑体"/>
                <w:b/>
                <w:bCs w:val="0"/>
                <w:sz w:val="28"/>
                <w:szCs w:val="28"/>
                <w:u w:val="none"/>
                <w:lang w:val="en-US" w:eastAsia="zh-CN"/>
              </w:rPr>
              <w:t>竞买人</w:t>
            </w:r>
            <w:bookmarkStart w:id="1" w:name="_GoBack"/>
            <w:bookmarkEnd w:id="1"/>
            <w:r>
              <w:rPr>
                <w:rFonts w:hint="eastAsia" w:ascii="黑体" w:hAnsi="黑体" w:eastAsia="黑体" w:cs="黑体"/>
                <w:b/>
                <w:bCs w:val="0"/>
                <w:sz w:val="28"/>
                <w:szCs w:val="28"/>
                <w:u w:val="none"/>
                <w:lang w:val="en-US" w:eastAsia="zh-CN"/>
              </w:rPr>
              <w:t>签字(盖章)：</w:t>
            </w:r>
          </w:p>
        </w:tc>
      </w:tr>
    </w:tbl>
    <w:p>
      <w:pPr>
        <w:numPr>
          <w:ilvl w:val="0"/>
          <w:numId w:val="0"/>
        </w:numPr>
        <w:spacing w:line="120" w:lineRule="auto"/>
        <w:ind w:firstLine="5060" w:firstLineChars="1800"/>
        <w:jc w:val="left"/>
        <w:rPr>
          <w:rFonts w:hint="eastAsia" w:ascii="黑体" w:hAnsi="黑体" w:eastAsia="黑体" w:cs="黑体"/>
          <w:b/>
          <w:bCs w:val="0"/>
          <w:sz w:val="28"/>
          <w:szCs w:val="28"/>
          <w:u w:val="none"/>
          <w:lang w:val="en-US" w:eastAsia="zh-CN"/>
        </w:rPr>
      </w:pPr>
    </w:p>
    <w:p>
      <w:pPr>
        <w:numPr>
          <w:ilvl w:val="0"/>
          <w:numId w:val="0"/>
        </w:numPr>
        <w:spacing w:line="120" w:lineRule="auto"/>
        <w:ind w:firstLine="5060" w:firstLineChars="1800"/>
        <w:jc w:val="left"/>
        <w:rPr>
          <w:rFonts w:hint="eastAsia" w:ascii="黑体" w:hAnsi="黑体" w:eastAsia="黑体" w:cs="黑体"/>
          <w:b/>
          <w:bCs w:val="0"/>
          <w:sz w:val="28"/>
          <w:szCs w:val="28"/>
          <w:u w:val="none"/>
          <w:lang w:val="en-US" w:eastAsia="zh-CN"/>
        </w:rPr>
      </w:pPr>
    </w:p>
    <w:p>
      <w:pPr>
        <w:numPr>
          <w:ilvl w:val="0"/>
          <w:numId w:val="0"/>
        </w:numPr>
        <w:spacing w:line="120" w:lineRule="auto"/>
        <w:jc w:val="left"/>
        <w:rPr>
          <w:rFonts w:hint="eastAsia" w:ascii="黑体" w:hAnsi="黑体" w:eastAsia="黑体" w:cs="黑体"/>
          <w:b/>
          <w:bCs w:val="0"/>
          <w:sz w:val="28"/>
          <w:szCs w:val="28"/>
          <w:u w:val="none"/>
          <w:lang w:val="en-US" w:eastAsia="zh-CN"/>
        </w:rPr>
      </w:pPr>
    </w:p>
    <w:p>
      <w:pPr>
        <w:numPr>
          <w:ilvl w:val="0"/>
          <w:numId w:val="0"/>
        </w:numPr>
        <w:spacing w:line="120" w:lineRule="auto"/>
        <w:ind w:firstLine="5622" w:firstLineChars="2000"/>
        <w:jc w:val="left"/>
        <w:rPr>
          <w:rFonts w:hint="default" w:ascii="宋体" w:hAnsi="宋体" w:eastAsia="宋体" w:cs="宋体"/>
          <w:b/>
          <w:bCs/>
          <w:sz w:val="24"/>
          <w:szCs w:val="24"/>
          <w:lang w:val="en-US" w:eastAsia="zh-CN"/>
        </w:rPr>
      </w:pPr>
      <w:r>
        <w:rPr>
          <w:rFonts w:hint="eastAsia" w:ascii="黑体" w:hAnsi="黑体" w:eastAsia="黑体" w:cs="黑体"/>
          <w:b/>
          <w:bCs w:val="0"/>
          <w:sz w:val="28"/>
          <w:szCs w:val="28"/>
          <w:u w:val="none"/>
          <w:lang w:val="en-US" w:eastAsia="zh-CN"/>
        </w:rPr>
        <w:t>竞买人签字(盖章)：</w:t>
      </w:r>
      <w:r>
        <w:rPr>
          <w:rFonts w:hint="eastAsia" w:ascii="宋体" w:hAnsi="宋体" w:eastAsia="宋体" w:cs="宋体"/>
          <w:b/>
          <w:bCs/>
          <w:sz w:val="24"/>
          <w:szCs w:val="24"/>
          <w:lang w:val="en-US" w:eastAsia="zh-CN"/>
        </w:rPr>
        <w:t xml:space="preserve"> </w:t>
      </w:r>
    </w:p>
    <w:p>
      <w:pPr>
        <w:numPr>
          <w:ilvl w:val="0"/>
          <w:numId w:val="0"/>
        </w:numPr>
        <w:spacing w:line="120" w:lineRule="auto"/>
        <w:jc w:val="left"/>
        <w:rPr>
          <w:rFonts w:hint="default"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年   月   日</w:t>
      </w:r>
    </w:p>
    <w:p>
      <w:pPr>
        <w:numPr>
          <w:ilvl w:val="0"/>
          <w:numId w:val="0"/>
        </w:numPr>
        <w:spacing w:line="120" w:lineRule="auto"/>
        <w:jc w:val="left"/>
        <w:rPr>
          <w:rFonts w:hint="eastAsia" w:ascii="宋体" w:hAnsi="宋体" w:eastAsia="宋体" w:cs="宋体"/>
          <w:bCs/>
          <w:sz w:val="24"/>
          <w:szCs w:val="24"/>
          <w:lang w:val="en-US" w:eastAsia="zh-CN"/>
        </w:rPr>
      </w:pPr>
    </w:p>
    <w:p>
      <w:pPr>
        <w:numPr>
          <w:ilvl w:val="0"/>
          <w:numId w:val="0"/>
        </w:numPr>
        <w:spacing w:line="120" w:lineRule="auto"/>
        <w:jc w:val="left"/>
        <w:rPr>
          <w:rFonts w:hint="eastAsia" w:ascii="宋体" w:hAnsi="宋体" w:eastAsia="宋体" w:cs="宋体"/>
          <w:bCs/>
          <w:sz w:val="24"/>
          <w:szCs w:val="24"/>
          <w:lang w:val="en-US" w:eastAsia="zh-CN"/>
        </w:rPr>
      </w:pPr>
    </w:p>
    <w:p>
      <w:pPr>
        <w:numPr>
          <w:ilvl w:val="0"/>
          <w:numId w:val="0"/>
        </w:numPr>
        <w:spacing w:line="120" w:lineRule="auto"/>
        <w:jc w:val="left"/>
        <w:rPr>
          <w:rFonts w:hint="eastAsia" w:ascii="宋体" w:hAnsi="宋体" w:eastAsia="宋体" w:cs="宋体"/>
          <w:bCs/>
          <w:sz w:val="24"/>
          <w:szCs w:val="24"/>
          <w:lang w:val="en-US" w:eastAsia="zh-CN"/>
        </w:rPr>
      </w:pPr>
    </w:p>
    <w:p>
      <w:pPr>
        <w:numPr>
          <w:ilvl w:val="0"/>
          <w:numId w:val="0"/>
        </w:numPr>
        <w:spacing w:line="12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菏泽市公共资源（国有产权）交易中心</w:t>
      </w:r>
    </w:p>
    <w:p>
      <w:pPr>
        <w:numPr>
          <w:ilvl w:val="0"/>
          <w:numId w:val="0"/>
        </w:numPr>
        <w:spacing w:line="120" w:lineRule="auto"/>
        <w:ind w:firstLine="5040" w:firstLineChars="2100"/>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山东翰光拍卖有限公司</w:t>
      </w:r>
    </w:p>
    <w:p>
      <w:pPr>
        <w:spacing w:line="120" w:lineRule="auto"/>
        <w:jc w:val="left"/>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2019年</w:t>
      </w:r>
      <w:r>
        <w:rPr>
          <w:rFonts w:hint="eastAsia" w:ascii="宋体" w:hAnsi="宋体" w:eastAsia="宋体" w:cs="宋体"/>
          <w:bCs/>
          <w:sz w:val="24"/>
          <w:szCs w:val="24"/>
          <w:lang w:val="en-US" w:eastAsia="zh-CN"/>
        </w:rPr>
        <w:t>10</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22</w:t>
      </w:r>
      <w:r>
        <w:rPr>
          <w:rFonts w:hint="eastAsia" w:ascii="宋体" w:hAnsi="宋体" w:eastAsia="宋体" w:cs="宋体"/>
          <w:bCs/>
          <w:sz w:val="24"/>
          <w:szCs w:val="24"/>
        </w:rPr>
        <w:t>日</w:t>
      </w:r>
    </w:p>
    <w:p/>
    <w:sectPr>
      <w:headerReference r:id="rId3" w:type="default"/>
      <w:footerReference r:id="rId4" w:type="default"/>
      <w:footerReference r:id="rId5" w:type="even"/>
      <w:pgSz w:w="11906" w:h="16838"/>
      <w:pgMar w:top="1440" w:right="1134" w:bottom="1440"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D5AFF"/>
    <w:rsid w:val="1D80337E"/>
    <w:rsid w:val="1F763AF5"/>
    <w:rsid w:val="22361E12"/>
    <w:rsid w:val="781E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极致者不凡</cp:lastModifiedBy>
  <dcterms:modified xsi:type="dcterms:W3CDTF">2019-10-21T01:14:22Z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