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uto"/>
        <w:jc w:val="center"/>
        <w:rPr>
          <w:rFonts w:hint="eastAsia" w:ascii="宋体" w:hAnsi="宋体" w:eastAsia="宋体" w:cs="宋体"/>
          <w:b/>
          <w:bCs w:val="0"/>
          <w:sz w:val="44"/>
          <w:szCs w:val="44"/>
          <w:lang w:val="en-US" w:eastAsia="zh-CN"/>
        </w:rPr>
      </w:pPr>
      <w:r>
        <w:rPr>
          <w:rFonts w:hint="eastAsia" w:ascii="宋体" w:hAnsi="宋体" w:eastAsia="宋体" w:cs="宋体"/>
          <w:b/>
          <w:bCs w:val="0"/>
          <w:sz w:val="44"/>
          <w:szCs w:val="44"/>
          <w:lang w:val="en-US" w:eastAsia="zh-CN"/>
        </w:rPr>
        <w:t>拍卖规则</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一、本规则根据《中华人民共和国拍卖法》及相关法律、法规，并遵循公开、公平、公正、诚实信用及价高者得的原则制定。</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二、竞买人入场后应当遵守场内公共秩序，不得阻挠其他竞买人叫价竞买，不得阻碍拍卖人进行正常的拍卖工作，更不能有操纵、垄断等违法行为，一经发现，将取消其竞买资格，并追究其法律责任。</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三、拍卖标的：</w:t>
      </w:r>
    </w:p>
    <w:p>
      <w:pPr>
        <w:spacing w:line="120" w:lineRule="auto"/>
        <w:ind w:firstLine="480" w:firstLineChars="200"/>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菏泽职业教育管理发展有限公司25.36%国有股权，详见</w:t>
      </w:r>
      <w:bookmarkStart w:id="0" w:name="bianhao"/>
      <w:r>
        <w:rPr>
          <w:rFonts w:hint="eastAsia" w:ascii="宋体" w:hAnsi="宋体" w:eastAsia="宋体" w:cs="宋体"/>
          <w:bCs/>
          <w:sz w:val="24"/>
          <w:szCs w:val="24"/>
          <w:lang w:val="en-US" w:eastAsia="zh-CN"/>
        </w:rPr>
        <w:t>《资产评估报告》</w:t>
      </w:r>
      <w:bookmarkEnd w:id="0"/>
      <w:r>
        <w:rPr>
          <w:rFonts w:hint="eastAsia" w:ascii="宋体" w:hAnsi="宋体" w:eastAsia="宋体" w:cs="宋体"/>
          <w:bCs/>
          <w:sz w:val="24"/>
          <w:szCs w:val="24"/>
          <w:lang w:val="en-US" w:eastAsia="zh-CN"/>
        </w:rPr>
        <w:t xml:space="preserve">鲁道勤评报字（2019）第0505号,《审计报告》鲁道勤会审字2019第（0620）号，《项目评审结果确认表》。底价：2443万元                                        </w:t>
      </w:r>
    </w:p>
    <w:p>
      <w:pPr>
        <w:spacing w:line="120" w:lineRule="auto"/>
        <w:ind w:firstLine="480" w:firstLineChars="200"/>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四、竞买不成功的，竞买保证金将于拍卖会后5个工作日内无息退还。</w:t>
      </w:r>
    </w:p>
    <w:p>
      <w:pPr>
        <w:spacing w:line="12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lang w:val="en-US" w:eastAsia="zh-CN"/>
        </w:rPr>
        <w:t>五</w:t>
      </w:r>
      <w:r>
        <w:rPr>
          <w:rFonts w:hint="eastAsia" w:ascii="宋体" w:hAnsi="宋体" w:eastAsia="宋体" w:cs="宋体"/>
          <w:bCs/>
          <w:sz w:val="24"/>
          <w:szCs w:val="24"/>
        </w:rPr>
        <w:t>、</w:t>
      </w:r>
      <w:r>
        <w:rPr>
          <w:rFonts w:hint="eastAsia" w:ascii="宋体" w:hAnsi="宋体" w:eastAsia="宋体" w:cs="宋体"/>
          <w:bCs/>
          <w:sz w:val="24"/>
          <w:szCs w:val="24"/>
          <w:lang w:val="en-US" w:eastAsia="zh-CN"/>
        </w:rPr>
        <w:t>拍卖成交后</w:t>
      </w:r>
      <w:r>
        <w:rPr>
          <w:rFonts w:hint="eastAsia" w:ascii="宋体" w:hAnsi="宋体" w:eastAsia="宋体" w:cs="宋体"/>
          <w:bCs/>
          <w:sz w:val="24"/>
          <w:szCs w:val="24"/>
        </w:rPr>
        <w:t>，买受人应当场签署《成交确认书》。</w:t>
      </w:r>
    </w:p>
    <w:p>
      <w:pPr>
        <w:spacing w:line="120" w:lineRule="auto"/>
        <w:ind w:firstLine="480" w:firstLineChars="200"/>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六、拍卖成交后，买受人应在五</w:t>
      </w:r>
      <w:r>
        <w:rPr>
          <w:rFonts w:hint="eastAsia" w:ascii="宋体" w:hAnsi="宋体" w:eastAsia="宋体" w:cs="宋体"/>
          <w:bCs/>
          <w:sz w:val="24"/>
          <w:szCs w:val="24"/>
        </w:rPr>
        <w:t>个工作日内交清成交价款</w:t>
      </w:r>
      <w:r>
        <w:rPr>
          <w:rFonts w:hint="eastAsia" w:ascii="宋体" w:hAnsi="宋体" w:eastAsia="宋体" w:cs="宋体"/>
          <w:bCs/>
          <w:sz w:val="24"/>
          <w:szCs w:val="24"/>
          <w:lang w:val="en-US" w:eastAsia="zh-CN"/>
        </w:rPr>
        <w:t>至委托人指定账户</w:t>
      </w:r>
      <w:r>
        <w:rPr>
          <w:rFonts w:hint="eastAsia" w:ascii="宋体" w:hAnsi="宋体" w:eastAsia="宋体" w:cs="宋体"/>
          <w:bCs/>
          <w:sz w:val="24"/>
          <w:szCs w:val="24"/>
          <w:lang w:eastAsia="zh-CN"/>
        </w:rPr>
        <w:t>。</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七</w:t>
      </w:r>
      <w:r>
        <w:rPr>
          <w:rFonts w:hint="eastAsia" w:ascii="宋体" w:hAnsi="宋体" w:eastAsia="宋体" w:cs="宋体"/>
          <w:bCs/>
          <w:sz w:val="24"/>
          <w:szCs w:val="24"/>
        </w:rPr>
        <w:t>、</w:t>
      </w:r>
      <w:r>
        <w:rPr>
          <w:rFonts w:hint="eastAsia" w:ascii="宋体" w:hAnsi="宋体" w:eastAsia="宋体" w:cs="宋体"/>
          <w:bCs/>
          <w:sz w:val="24"/>
          <w:szCs w:val="24"/>
          <w:lang w:val="en-US" w:eastAsia="zh-CN"/>
        </w:rPr>
        <w:t>拍卖成交后，买受人按照拍卖成交价款的5%的比例向拍卖人支付佣金。</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八、买受人有下列行为之一的，视为违约：</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1、买受人提供虚假失实材料的；</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2、买受人串通或干扰公平竞争扰乱正常拍卖秩序的；</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3、买受人逾期或拒绝签订《成交确认书》、《拍卖笔录》及其他拍卖相关文件的；</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4、买受人逾期或拒绝按照本拍卖规则规定的付款期限支付成交价款和拍卖佣金的。</w:t>
      </w:r>
    </w:p>
    <w:p>
      <w:pPr>
        <w:spacing w:line="120" w:lineRule="auto"/>
        <w:ind w:firstLine="482" w:firstLineChars="200"/>
        <w:rPr>
          <w:rFonts w:hint="eastAsia" w:ascii="宋体" w:hAnsi="宋体" w:eastAsia="宋体" w:cs="宋体"/>
          <w:b/>
          <w:bCs/>
          <w:sz w:val="24"/>
          <w:szCs w:val="24"/>
          <w:u w:val="single"/>
          <w:lang w:val="en-US" w:eastAsia="zh-CN"/>
        </w:rPr>
      </w:pPr>
      <w:r>
        <w:rPr>
          <w:rFonts w:hint="eastAsia" w:ascii="黑体" w:hAnsi="黑体" w:eastAsia="黑体" w:cs="黑体"/>
          <w:b/>
          <w:bCs w:val="0"/>
          <w:sz w:val="24"/>
          <w:szCs w:val="24"/>
          <w:lang w:val="en-US" w:eastAsia="zh-CN"/>
        </w:rPr>
        <w:t>九、买受人违约的，委托人和拍卖人有权取消其买受人资格，并有权不予返还其竞买保证金，买受人交纳的竞买保证金自动转为支付给拍卖人的违约金。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spacing w:line="120" w:lineRule="auto"/>
        <w:ind w:firstLine="482" w:firstLineChars="200"/>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十、买受人须承诺：</w:t>
      </w:r>
    </w:p>
    <w:p>
      <w:pPr>
        <w:spacing w:line="120" w:lineRule="auto"/>
        <w:ind w:firstLine="482" w:firstLineChars="200"/>
        <w:rPr>
          <w:rFonts w:hint="default" w:ascii="黑体" w:hAnsi="黑体" w:eastAsia="黑体" w:cs="黑体"/>
          <w:b/>
          <w:bCs w:val="0"/>
          <w:sz w:val="24"/>
          <w:szCs w:val="24"/>
          <w:u w:val="single"/>
          <w:lang w:val="en-US" w:eastAsia="zh-CN"/>
        </w:rPr>
      </w:pPr>
      <w:r>
        <w:rPr>
          <w:rFonts w:hint="eastAsia" w:ascii="黑体" w:hAnsi="黑体" w:eastAsia="黑体" w:cs="黑体"/>
          <w:b/>
          <w:bCs w:val="0"/>
          <w:sz w:val="24"/>
          <w:szCs w:val="24"/>
          <w:u w:val="single"/>
          <w:lang w:val="en-US" w:eastAsia="zh-CN"/>
        </w:rPr>
        <w:t>1、买受人必须具备雄厚的经济实力，有抗风险能力，保证标的企业能够正常经营发展，保证华鼎学府小区二期项目开发。</w:t>
      </w:r>
    </w:p>
    <w:p>
      <w:pPr>
        <w:spacing w:line="120" w:lineRule="auto"/>
        <w:ind w:firstLine="482" w:firstLineChars="200"/>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2、竞买成功后应按照国家有关劳动保障方面的法律、法规及规范性文件规定妥善安置职工，保持职工队伍稳定。</w:t>
      </w:r>
    </w:p>
    <w:p>
      <w:pPr>
        <w:spacing w:line="120" w:lineRule="auto"/>
        <w:ind w:firstLine="482" w:firstLineChars="200"/>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3、竞买成功后的标的企业继续承接转让方对标的企业原有的债权债务及或有负债，并承诺继续履行相关合同义务。</w:t>
      </w:r>
    </w:p>
    <w:p>
      <w:pPr>
        <w:spacing w:line="120" w:lineRule="auto"/>
        <w:ind w:firstLine="482" w:firstLineChars="200"/>
        <w:rPr>
          <w:rFonts w:hint="default" w:ascii="黑体" w:hAnsi="黑体" w:eastAsia="黑体" w:cs="黑体"/>
          <w:b/>
          <w:bCs w:val="0"/>
          <w:sz w:val="24"/>
          <w:szCs w:val="24"/>
          <w:u w:val="single"/>
          <w:lang w:val="en-US" w:eastAsia="zh-CN"/>
        </w:rPr>
      </w:pPr>
      <w:r>
        <w:rPr>
          <w:rFonts w:hint="eastAsia" w:ascii="黑体" w:hAnsi="黑体" w:eastAsia="黑体" w:cs="黑体"/>
          <w:b/>
          <w:bCs w:val="0"/>
          <w:sz w:val="24"/>
          <w:szCs w:val="24"/>
          <w:u w:val="single"/>
          <w:lang w:val="en-US" w:eastAsia="zh-CN"/>
        </w:rPr>
        <w:t>4、竞买成功后，标的企业剩余股权所持有人如有转让意向，买受人需按照本次成交价格的比例购买其所持有的股权。</w:t>
      </w:r>
    </w:p>
    <w:p>
      <w:pPr>
        <w:spacing w:line="120" w:lineRule="auto"/>
        <w:ind w:firstLine="482" w:firstLineChars="200"/>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5、竞买成功后的标的企业继续承担因土地开发带来的所有收益和土地及项目开发所产生的全部成本。</w:t>
      </w:r>
    </w:p>
    <w:p>
      <w:pPr>
        <w:spacing w:line="120" w:lineRule="auto"/>
        <w:ind w:firstLine="482" w:firstLineChars="200"/>
        <w:rPr>
          <w:rFonts w:hint="default"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6、本项目在菏泽市公共资源（国有产权）交易中心公告期即为尽职调查期，买受人在本项目公告期间有权利和义务自行对交易标的进行全面了解。买受人通过资格确认并且交纳保证金后，即视为已完成对本项目的全部尽职调查，完全认可本项目所涉审计报告、资产评估报告等全部披露内容，已充分了解并自愿完全接受本项目公告内容及交易标的现状及瑕疵，自愿全面履行交易程序并自行承担受让交易标的所带来的一切风险和后果。非因转让方原因所引发的风险因素，由买受人自行承担。</w:t>
      </w:r>
    </w:p>
    <w:tbl>
      <w:tblPr>
        <w:tblStyle w:val="7"/>
        <w:tblpPr w:leftFromText="180" w:rightFromText="180" w:vertAnchor="text" w:horzAnchor="page" w:tblpX="1642" w:tblpY="105"/>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9" w:hRule="atLeast"/>
        </w:trPr>
        <w:tc>
          <w:tcPr>
            <w:tcW w:w="9300" w:type="dxa"/>
            <w:noWrap w:val="0"/>
            <w:vAlign w:val="top"/>
          </w:tcPr>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十二、特别声明：</w:t>
            </w:r>
          </w:p>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1、拍卖活动所披露的评估报告、审计报告、鉴定意见等资料仅是确定拍卖标的物起拍价的参考，不是委托人、拍卖人对标的物品质、质量和数量的保证和承诺，竞买人应当充分预估其中风险并自行承担责任。</w:t>
            </w:r>
          </w:p>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2、委托人、拍卖人不能保证拍卖标的物的真伪、品质和具体数量，不承担瑕疵担保责任。</w:t>
            </w:r>
          </w:p>
          <w:p>
            <w:pPr>
              <w:spacing w:line="120" w:lineRule="auto"/>
              <w:ind w:firstLine="482" w:firstLineChars="200"/>
              <w:jc w:val="left"/>
              <w:rPr>
                <w:rFonts w:hint="eastAsia" w:ascii="黑体" w:hAnsi="黑体" w:eastAsia="黑体" w:cs="黑体"/>
                <w:b/>
                <w:bCs w:val="0"/>
                <w:sz w:val="28"/>
                <w:szCs w:val="28"/>
                <w:u w:val="none"/>
                <w:lang w:val="en-US" w:eastAsia="zh-CN"/>
              </w:rPr>
            </w:pPr>
            <w:r>
              <w:rPr>
                <w:rFonts w:hint="eastAsia" w:ascii="黑体" w:hAnsi="黑体" w:eastAsia="黑体" w:cs="黑体"/>
                <w:b/>
                <w:bCs w:val="0"/>
                <w:sz w:val="24"/>
                <w:szCs w:val="24"/>
                <w:lang w:val="en-US" w:eastAsia="zh-CN"/>
              </w:rPr>
              <w:t>3、拍卖标的物在合同成立时，以拍卖合同成立时的现状移交给买受人，相关风险同时转移给买受人。事后双方如办理标的物移交手续，该相关手续仅是对移交事实的确认。因标的物的特殊性，具有随时被盗、灭失等导致价值贬损的风险，移交时标的物的现状与评估或买受人考察时的状况不一致的，以移交时的现状为准，买受人不得以标的物状况发生变化而主张合同无效或要求委托人、拍卖人补偿。</w:t>
            </w:r>
            <w:r>
              <w:rPr>
                <w:rFonts w:hint="eastAsia" w:ascii="黑体" w:hAnsi="黑体" w:eastAsia="黑体" w:cs="黑体"/>
                <w:b/>
                <w:bCs w:val="0"/>
                <w:sz w:val="28"/>
                <w:szCs w:val="28"/>
                <w:u w:val="none"/>
                <w:lang w:val="en-US" w:eastAsia="zh-CN"/>
              </w:rPr>
              <w:t xml:space="preserve"> </w:t>
            </w:r>
          </w:p>
          <w:p>
            <w:pPr>
              <w:spacing w:line="120" w:lineRule="auto"/>
              <w:ind w:firstLine="562" w:firstLineChars="200"/>
              <w:jc w:val="left"/>
              <w:rPr>
                <w:rFonts w:hint="eastAsia" w:ascii="黑体" w:hAnsi="黑体" w:eastAsia="黑体" w:cs="黑体"/>
                <w:b/>
                <w:bCs w:val="0"/>
                <w:sz w:val="28"/>
                <w:szCs w:val="28"/>
                <w:u w:val="none"/>
                <w:lang w:val="en-US" w:eastAsia="zh-CN"/>
              </w:rPr>
            </w:pPr>
          </w:p>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您如果同意本拍卖规则并参加拍卖，请您将下面一段话抄写在下方空白处，然后签字盖章。</w:t>
            </w:r>
          </w:p>
          <w:p>
            <w:pPr>
              <w:spacing w:line="120" w:lineRule="auto"/>
              <w:ind w:firstLine="482" w:firstLineChars="200"/>
              <w:jc w:val="left"/>
              <w:rPr>
                <w:rFonts w:hint="eastAsia" w:ascii="黑体" w:hAnsi="黑体" w:eastAsia="黑体" w:cs="黑体"/>
                <w:b/>
                <w:bCs w:val="0"/>
                <w:sz w:val="24"/>
                <w:szCs w:val="24"/>
                <w:lang w:val="en-US" w:eastAsia="zh-CN"/>
              </w:rPr>
            </w:pPr>
          </w:p>
          <w:p>
            <w:pPr>
              <w:numPr>
                <w:ilvl w:val="0"/>
                <w:numId w:val="0"/>
              </w:numPr>
              <w:ind w:firstLine="482" w:firstLineChars="200"/>
              <w:rPr>
                <w:rFonts w:hint="eastAsia" w:ascii="黑体" w:hAnsi="黑体" w:eastAsia="黑体" w:cs="黑体"/>
                <w:b/>
                <w:bCs w:val="0"/>
                <w:i/>
                <w:iCs/>
                <w:sz w:val="24"/>
                <w:szCs w:val="28"/>
                <w:u w:val="none"/>
                <w:lang w:val="en-US" w:eastAsia="zh-CN"/>
              </w:rPr>
            </w:pPr>
            <w:r>
              <w:rPr>
                <w:rFonts w:hint="eastAsia" w:ascii="黑体" w:hAnsi="黑体" w:eastAsia="黑体" w:cs="黑体"/>
                <w:b/>
                <w:bCs w:val="0"/>
                <w:i/>
                <w:iCs/>
                <w:sz w:val="24"/>
                <w:szCs w:val="28"/>
                <w:u w:val="single"/>
                <w:lang w:val="en-US" w:eastAsia="zh-CN"/>
              </w:rPr>
              <w:t>拍卖人已就特别声明的内容向我（单位）作了充分说明，我（单位）充分了解其内容，并自愿承担法律后果。</w:t>
            </w:r>
          </w:p>
          <w:p>
            <w:pPr>
              <w:numPr>
                <w:ilvl w:val="0"/>
                <w:numId w:val="0"/>
              </w:numPr>
              <w:spacing w:line="120" w:lineRule="auto"/>
              <w:jc w:val="left"/>
              <w:rPr>
                <w:rFonts w:hint="eastAsia" w:ascii="黑体" w:hAnsi="黑体" w:eastAsia="黑体" w:cs="黑体"/>
                <w:b/>
                <w:bCs/>
                <w:sz w:val="24"/>
                <w:szCs w:val="24"/>
                <w:lang w:val="en-US" w:eastAsia="zh-CN"/>
              </w:rPr>
            </w:pPr>
          </w:p>
          <w:p>
            <w:pPr>
              <w:spacing w:line="120" w:lineRule="auto"/>
              <w:ind w:firstLine="3654" w:firstLineChars="1300"/>
              <w:jc w:val="both"/>
              <w:rPr>
                <w:rFonts w:hint="eastAsia" w:ascii="黑体" w:hAnsi="黑体" w:eastAsia="黑体" w:cs="黑体"/>
                <w:b/>
                <w:bCs w:val="0"/>
                <w:sz w:val="28"/>
                <w:szCs w:val="28"/>
                <w:u w:val="none"/>
                <w:lang w:val="en-US" w:eastAsia="zh-CN"/>
              </w:rPr>
            </w:pPr>
          </w:p>
          <w:p>
            <w:pPr>
              <w:spacing w:line="120" w:lineRule="auto"/>
              <w:ind w:firstLine="3654" w:firstLineChars="1300"/>
              <w:jc w:val="both"/>
              <w:rPr>
                <w:rFonts w:hint="eastAsia" w:ascii="黑体" w:hAnsi="黑体" w:eastAsia="黑体" w:cs="黑体"/>
                <w:b/>
                <w:bCs w:val="0"/>
                <w:sz w:val="28"/>
                <w:szCs w:val="28"/>
                <w:u w:val="none"/>
                <w:lang w:val="en-US" w:eastAsia="zh-CN"/>
              </w:rPr>
            </w:pPr>
          </w:p>
          <w:p>
            <w:pPr>
              <w:spacing w:line="120" w:lineRule="auto"/>
              <w:ind w:firstLine="3654" w:firstLineChars="1300"/>
              <w:jc w:val="both"/>
              <w:rPr>
                <w:rFonts w:hint="eastAsia" w:ascii="黑体" w:hAnsi="黑体" w:eastAsia="黑体" w:cs="黑体"/>
                <w:b/>
                <w:bCs w:val="0"/>
                <w:sz w:val="28"/>
                <w:szCs w:val="28"/>
                <w:u w:val="none"/>
                <w:lang w:val="en-US" w:eastAsia="zh-CN"/>
              </w:rPr>
            </w:pPr>
          </w:p>
          <w:p>
            <w:pPr>
              <w:spacing w:line="120" w:lineRule="auto"/>
              <w:ind w:firstLine="3654" w:firstLineChars="1300"/>
              <w:jc w:val="both"/>
              <w:rPr>
                <w:rFonts w:hint="default" w:ascii="黑体" w:hAnsi="黑体" w:eastAsia="黑体" w:cs="黑体"/>
                <w:b/>
                <w:bCs w:val="0"/>
                <w:sz w:val="28"/>
                <w:szCs w:val="28"/>
                <w:u w:val="none"/>
                <w:lang w:val="en-US" w:eastAsia="zh-CN"/>
              </w:rPr>
            </w:pPr>
            <w:r>
              <w:rPr>
                <w:rFonts w:hint="eastAsia" w:ascii="黑体" w:hAnsi="黑体" w:eastAsia="黑体" w:cs="黑体"/>
                <w:b/>
                <w:bCs w:val="0"/>
                <w:sz w:val="28"/>
                <w:szCs w:val="28"/>
                <w:u w:val="none"/>
                <w:lang w:val="en-US" w:eastAsia="zh-CN"/>
              </w:rPr>
              <w:t>竞买人签字(盖章)：</w:t>
            </w:r>
          </w:p>
        </w:tc>
      </w:tr>
    </w:tbl>
    <w:p>
      <w:pPr>
        <w:numPr>
          <w:ilvl w:val="0"/>
          <w:numId w:val="0"/>
        </w:numPr>
        <w:spacing w:line="120" w:lineRule="auto"/>
        <w:ind w:firstLine="5060" w:firstLineChars="1800"/>
        <w:jc w:val="left"/>
        <w:rPr>
          <w:rFonts w:hint="eastAsia" w:ascii="黑体" w:hAnsi="黑体" w:eastAsia="黑体" w:cs="黑体"/>
          <w:b/>
          <w:bCs w:val="0"/>
          <w:sz w:val="28"/>
          <w:szCs w:val="28"/>
          <w:u w:val="none"/>
          <w:lang w:val="en-US" w:eastAsia="zh-CN"/>
        </w:rPr>
      </w:pPr>
    </w:p>
    <w:p>
      <w:pPr>
        <w:numPr>
          <w:ilvl w:val="0"/>
          <w:numId w:val="0"/>
        </w:numPr>
        <w:spacing w:line="120" w:lineRule="auto"/>
        <w:ind w:firstLine="5060" w:firstLineChars="1800"/>
        <w:jc w:val="left"/>
        <w:rPr>
          <w:rFonts w:hint="eastAsia" w:ascii="黑体" w:hAnsi="黑体" w:eastAsia="黑体" w:cs="黑体"/>
          <w:b/>
          <w:bCs w:val="0"/>
          <w:sz w:val="28"/>
          <w:szCs w:val="28"/>
          <w:u w:val="none"/>
          <w:lang w:val="en-US" w:eastAsia="zh-CN"/>
        </w:rPr>
      </w:pPr>
    </w:p>
    <w:p>
      <w:pPr>
        <w:numPr>
          <w:ilvl w:val="0"/>
          <w:numId w:val="0"/>
        </w:numPr>
        <w:spacing w:line="120" w:lineRule="auto"/>
        <w:jc w:val="left"/>
        <w:rPr>
          <w:rFonts w:hint="eastAsia" w:ascii="黑体" w:hAnsi="黑体" w:eastAsia="黑体" w:cs="黑体"/>
          <w:b/>
          <w:bCs w:val="0"/>
          <w:sz w:val="28"/>
          <w:szCs w:val="28"/>
          <w:u w:val="none"/>
          <w:lang w:val="en-US" w:eastAsia="zh-CN"/>
        </w:rPr>
      </w:pPr>
    </w:p>
    <w:p>
      <w:pPr>
        <w:numPr>
          <w:ilvl w:val="0"/>
          <w:numId w:val="0"/>
        </w:numPr>
        <w:spacing w:line="120" w:lineRule="auto"/>
        <w:ind w:firstLine="5622" w:firstLineChars="2000"/>
        <w:jc w:val="left"/>
        <w:rPr>
          <w:rFonts w:hint="default" w:ascii="宋体" w:hAnsi="宋体" w:eastAsia="宋体" w:cs="宋体"/>
          <w:b/>
          <w:bCs/>
          <w:sz w:val="24"/>
          <w:szCs w:val="24"/>
          <w:lang w:val="en-US" w:eastAsia="zh-CN"/>
        </w:rPr>
      </w:pPr>
      <w:r>
        <w:rPr>
          <w:rFonts w:hint="eastAsia" w:ascii="黑体" w:hAnsi="黑体" w:eastAsia="黑体" w:cs="黑体"/>
          <w:b/>
          <w:bCs w:val="0"/>
          <w:sz w:val="28"/>
          <w:szCs w:val="28"/>
          <w:u w:val="none"/>
          <w:lang w:val="en-US" w:eastAsia="zh-CN"/>
        </w:rPr>
        <w:t>竞买人签字(盖章)：</w:t>
      </w:r>
      <w:r>
        <w:rPr>
          <w:rFonts w:hint="eastAsia" w:ascii="宋体" w:hAnsi="宋体" w:eastAsia="宋体" w:cs="宋体"/>
          <w:b/>
          <w:bCs/>
          <w:sz w:val="24"/>
          <w:szCs w:val="24"/>
          <w:lang w:val="en-US" w:eastAsia="zh-CN"/>
        </w:rPr>
        <w:t xml:space="preserve"> </w:t>
      </w:r>
    </w:p>
    <w:p>
      <w:pPr>
        <w:numPr>
          <w:ilvl w:val="0"/>
          <w:numId w:val="0"/>
        </w:numPr>
        <w:spacing w:line="120" w:lineRule="auto"/>
        <w:jc w:val="left"/>
        <w:rPr>
          <w:rFonts w:hint="default" w:ascii="宋体" w:hAnsi="宋体" w:eastAsia="宋体" w:cs="宋体"/>
          <w:bCs/>
          <w:sz w:val="24"/>
          <w:szCs w:val="24"/>
          <w:lang w:val="en-US" w:eastAsia="zh-CN"/>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年   月   日</w:t>
      </w:r>
    </w:p>
    <w:p>
      <w:pPr>
        <w:numPr>
          <w:ilvl w:val="0"/>
          <w:numId w:val="0"/>
        </w:numPr>
        <w:spacing w:line="120" w:lineRule="auto"/>
        <w:jc w:val="left"/>
        <w:rPr>
          <w:rFonts w:hint="eastAsia" w:ascii="宋体" w:hAnsi="宋体" w:eastAsia="宋体" w:cs="宋体"/>
          <w:bCs/>
          <w:sz w:val="24"/>
          <w:szCs w:val="24"/>
          <w:lang w:val="en-US" w:eastAsia="zh-CN"/>
        </w:rPr>
      </w:pPr>
    </w:p>
    <w:p>
      <w:pPr>
        <w:numPr>
          <w:ilvl w:val="0"/>
          <w:numId w:val="0"/>
        </w:numPr>
        <w:spacing w:line="120" w:lineRule="auto"/>
        <w:jc w:val="left"/>
        <w:rPr>
          <w:rFonts w:hint="eastAsia" w:ascii="宋体" w:hAnsi="宋体" w:eastAsia="宋体" w:cs="宋体"/>
          <w:bCs/>
          <w:sz w:val="24"/>
          <w:szCs w:val="24"/>
          <w:lang w:val="en-US" w:eastAsia="zh-CN"/>
        </w:rPr>
      </w:pPr>
    </w:p>
    <w:p>
      <w:pPr>
        <w:numPr>
          <w:ilvl w:val="0"/>
          <w:numId w:val="0"/>
        </w:numPr>
        <w:spacing w:line="120" w:lineRule="auto"/>
        <w:jc w:val="left"/>
        <w:rPr>
          <w:rFonts w:hint="eastAsia" w:ascii="宋体" w:hAnsi="宋体" w:eastAsia="宋体" w:cs="宋体"/>
          <w:bCs/>
          <w:sz w:val="24"/>
          <w:szCs w:val="24"/>
          <w:lang w:val="en-US" w:eastAsia="zh-CN"/>
        </w:rPr>
      </w:pPr>
    </w:p>
    <w:p>
      <w:pPr>
        <w:numPr>
          <w:ilvl w:val="0"/>
          <w:numId w:val="0"/>
        </w:numPr>
        <w:spacing w:line="120" w:lineRule="auto"/>
        <w:jc w:val="left"/>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菏泽市兴菏国有产权交易有限责任公司</w:t>
      </w:r>
      <w:bookmarkStart w:id="1" w:name="_GoBack"/>
      <w:bookmarkEnd w:id="1"/>
    </w:p>
    <w:p>
      <w:pPr>
        <w:numPr>
          <w:ilvl w:val="0"/>
          <w:numId w:val="0"/>
        </w:numPr>
        <w:spacing w:line="120" w:lineRule="auto"/>
        <w:ind w:firstLine="5040" w:firstLineChars="2100"/>
        <w:jc w:val="left"/>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山东翰光拍卖有限公司</w:t>
      </w:r>
    </w:p>
    <w:p>
      <w:pPr>
        <w:spacing w:line="120" w:lineRule="auto"/>
        <w:jc w:val="left"/>
        <w:rPr>
          <w:rFonts w:ascii="宋体" w:hAnsi="宋体" w:eastAsia="宋体" w:cs="宋体"/>
          <w:bCs/>
          <w:sz w:val="24"/>
          <w:szCs w:val="24"/>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2019年</w:t>
      </w:r>
      <w:r>
        <w:rPr>
          <w:rFonts w:hint="eastAsia" w:ascii="宋体" w:hAnsi="宋体" w:eastAsia="宋体" w:cs="宋体"/>
          <w:bCs/>
          <w:sz w:val="24"/>
          <w:szCs w:val="24"/>
          <w:lang w:val="en-US" w:eastAsia="zh-CN"/>
        </w:rPr>
        <w:t>12</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25</w:t>
      </w:r>
      <w:r>
        <w:rPr>
          <w:rFonts w:hint="eastAsia" w:ascii="宋体" w:hAnsi="宋体" w:eastAsia="宋体" w:cs="宋体"/>
          <w:bCs/>
          <w:sz w:val="24"/>
          <w:szCs w:val="24"/>
        </w:rPr>
        <w:t>日</w:t>
      </w:r>
    </w:p>
    <w:p/>
    <w:sectPr>
      <w:headerReference r:id="rId3" w:type="default"/>
      <w:footerReference r:id="rId4" w:type="default"/>
      <w:footerReference r:id="rId5" w:type="even"/>
      <w:pgSz w:w="11906" w:h="16838"/>
      <w:pgMar w:top="1440" w:right="1134" w:bottom="1440"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separate"/>
    </w:r>
    <w:r>
      <w:rPr>
        <w:rStyle w:val="9"/>
      </w:rPr>
      <w:t>- 1 -</w:t>
    </w:r>
    <w:r>
      <w:fldChar w:fldCharType="end"/>
    </w:r>
  </w:p>
  <w:p>
    <w:pPr>
      <w:pStyle w:val="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61EC5"/>
    <w:rsid w:val="05EE2E72"/>
    <w:rsid w:val="061D1F04"/>
    <w:rsid w:val="0C9C3EC7"/>
    <w:rsid w:val="10CD5AFF"/>
    <w:rsid w:val="15C81924"/>
    <w:rsid w:val="1D80337E"/>
    <w:rsid w:val="1D9F1388"/>
    <w:rsid w:val="1F763AF5"/>
    <w:rsid w:val="2185328A"/>
    <w:rsid w:val="22361E12"/>
    <w:rsid w:val="2E093CA0"/>
    <w:rsid w:val="301F2E9B"/>
    <w:rsid w:val="37EE5CA9"/>
    <w:rsid w:val="522E03FC"/>
    <w:rsid w:val="535311D8"/>
    <w:rsid w:val="781E178D"/>
    <w:rsid w:val="7D7F3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5">
    <w:name w:val="Normal (Web)"/>
    <w:basedOn w:val="1"/>
    <w:qFormat/>
    <w:uiPriority w:val="99"/>
    <w:pPr>
      <w:spacing w:beforeAutospacing="1" w:afterAutospacing="1"/>
      <w:jc w:val="left"/>
    </w:pPr>
    <w:rPr>
      <w:rFonts w:cs="Times New Roman"/>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Administrator</cp:lastModifiedBy>
  <cp:lastPrinted>2019-11-21T06:25:00Z</cp:lastPrinted>
  <dcterms:modified xsi:type="dcterms:W3CDTF">2019-12-24T07:30:12Z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