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拍卖规则</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一、本规则根据《中华人民共和国拍卖法》及相关法律、法规，并遵循“公开、公平、公正、诚实信用”原则及价高者得规则制定。</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二、竞买人入场后应当遵守场内公共秩序，不得阻挠其他竞买人叫价竞买，不得阻碍拍卖人进行正常的拍卖工作，更不能有操纵、垄断等违法行为，一经发现，将取消其竞买资格，并追究其法律责任。</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三、标的物简介：</w:t>
      </w:r>
      <w:bookmarkStart w:id="0" w:name="_Hlk13732987"/>
      <w:r>
        <w:rPr>
          <w:rFonts w:hint="eastAsia" w:asciiTheme="majorEastAsia" w:hAnsiTheme="majorEastAsia" w:eastAsiaTheme="majorEastAsia" w:cstheme="majorEastAsia"/>
          <w:bCs/>
          <w:sz w:val="24"/>
          <w:szCs w:val="24"/>
          <w:lang w:val="en-US" w:eastAsia="zh-CN"/>
        </w:rPr>
        <w:t>巨野县原陈集乡政府北半部土地租赁，出租面积3770平方米，租期40年。详见（济宁）成达（2019）（估）字第1211号。                                   底价：600000.00元</w:t>
      </w:r>
      <w:bookmarkEnd w:id="0"/>
      <w:r>
        <w:rPr>
          <w:rFonts w:hint="eastAsia" w:asciiTheme="majorEastAsia" w:hAnsiTheme="majorEastAsia" w:eastAsiaTheme="majorEastAsia" w:cstheme="majorEastAsia"/>
          <w:bCs/>
          <w:sz w:val="24"/>
          <w:szCs w:val="24"/>
          <w:lang w:val="en-US" w:eastAsia="zh-CN"/>
        </w:rPr>
        <w:t>。</w:t>
      </w:r>
      <w:bookmarkStart w:id="4" w:name="_GoBack"/>
      <w:bookmarkEnd w:id="4"/>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四</w:t>
      </w:r>
      <w:r>
        <w:rPr>
          <w:rFonts w:hint="eastAsia" w:asciiTheme="majorEastAsia" w:hAnsiTheme="majorEastAsia" w:eastAsiaTheme="majorEastAsia" w:cstheme="majorEastAsia"/>
          <w:bCs/>
          <w:sz w:val="24"/>
          <w:szCs w:val="24"/>
        </w:rPr>
        <w:t>、竞买人必须按照规定填写《预报名竞价单》,竞买人所报价格必须高于底价，报价最高的竞买人所报价格作为起拍价。</w:t>
      </w:r>
      <w:r>
        <w:rPr>
          <w:rFonts w:hint="eastAsia" w:asciiTheme="majorEastAsia" w:hAnsiTheme="majorEastAsia" w:eastAsiaTheme="majorEastAsia" w:cstheme="majorEastAsia"/>
          <w:bCs/>
          <w:sz w:val="24"/>
          <w:szCs w:val="24"/>
          <w:lang w:val="en-US" w:eastAsia="zh-CN"/>
        </w:rPr>
        <w:t>如果无人加价，则根据</w:t>
      </w:r>
      <w:r>
        <w:rPr>
          <w:rFonts w:hint="eastAsia" w:asciiTheme="majorEastAsia" w:hAnsiTheme="majorEastAsia" w:eastAsiaTheme="majorEastAsia" w:cstheme="majorEastAsia"/>
          <w:bCs/>
          <w:sz w:val="24"/>
          <w:szCs w:val="24"/>
        </w:rPr>
        <w:t>《预报名竞价单》</w:t>
      </w:r>
      <w:r>
        <w:rPr>
          <w:rFonts w:hint="eastAsia" w:asciiTheme="majorEastAsia" w:hAnsiTheme="majorEastAsia" w:eastAsiaTheme="majorEastAsia" w:cstheme="majorEastAsia"/>
          <w:bCs/>
          <w:sz w:val="24"/>
          <w:szCs w:val="24"/>
          <w:lang w:val="en-US" w:eastAsia="zh-CN"/>
        </w:rPr>
        <w:t>的最高报价成交。</w:t>
      </w:r>
    </w:p>
    <w:p>
      <w:pPr>
        <w:pStyle w:val="6"/>
        <w:widowControl/>
        <w:spacing w:beforeAutospacing="0" w:afterAutospacing="0" w:line="120" w:lineRule="auto"/>
        <w:ind w:firstLine="480" w:firstLineChars="200"/>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lang w:val="en-US" w:eastAsia="zh-CN"/>
        </w:rPr>
        <w:t>五</w:t>
      </w:r>
      <w:r>
        <w:rPr>
          <w:rFonts w:hint="eastAsia" w:asciiTheme="majorEastAsia" w:hAnsiTheme="majorEastAsia" w:eastAsiaTheme="majorEastAsia" w:cstheme="majorEastAsia"/>
          <w:bCs/>
        </w:rPr>
        <w:t>、</w:t>
      </w:r>
      <w:r>
        <w:rPr>
          <w:rFonts w:hint="eastAsia" w:asciiTheme="majorEastAsia" w:hAnsiTheme="majorEastAsia" w:eastAsiaTheme="majorEastAsia" w:cstheme="majorEastAsia"/>
          <w:bCs/>
          <w:kern w:val="2"/>
        </w:rPr>
        <w:t>竞买成功，</w:t>
      </w:r>
      <w:r>
        <w:rPr>
          <w:rFonts w:hint="eastAsia" w:asciiTheme="majorEastAsia" w:hAnsiTheme="majorEastAsia" w:eastAsiaTheme="majorEastAsia" w:cstheme="majorEastAsia"/>
          <w:bCs/>
          <w:kern w:val="2"/>
          <w:lang w:val="en-US" w:eastAsia="zh-CN"/>
        </w:rPr>
        <w:t>买受人的竞买</w:t>
      </w:r>
      <w:r>
        <w:rPr>
          <w:rFonts w:hint="eastAsia" w:asciiTheme="majorEastAsia" w:hAnsiTheme="majorEastAsia" w:eastAsiaTheme="majorEastAsia" w:cstheme="majorEastAsia"/>
          <w:bCs/>
          <w:kern w:val="2"/>
        </w:rPr>
        <w:t>保证金</w:t>
      </w:r>
      <w:r>
        <w:rPr>
          <w:rFonts w:hint="eastAsia" w:asciiTheme="majorEastAsia" w:hAnsiTheme="majorEastAsia" w:eastAsiaTheme="majorEastAsia" w:cstheme="majorEastAsia"/>
          <w:bCs/>
          <w:kern w:val="2"/>
          <w:lang w:val="en-US" w:eastAsia="zh-CN"/>
        </w:rPr>
        <w:t>直至签署《成交合同》后无息返还</w:t>
      </w:r>
      <w:r>
        <w:rPr>
          <w:rFonts w:hint="eastAsia" w:asciiTheme="majorEastAsia" w:hAnsiTheme="majorEastAsia" w:eastAsiaTheme="majorEastAsia" w:cstheme="majorEastAsia"/>
          <w:bCs/>
          <w:kern w:val="2"/>
        </w:rPr>
        <w:t>；竞买</w:t>
      </w:r>
      <w:r>
        <w:rPr>
          <w:rFonts w:hint="eastAsia" w:asciiTheme="majorEastAsia" w:hAnsiTheme="majorEastAsia" w:eastAsiaTheme="majorEastAsia" w:cstheme="majorEastAsia"/>
          <w:bCs/>
          <w:kern w:val="2"/>
          <w:lang w:val="en-US" w:eastAsia="zh-CN"/>
        </w:rPr>
        <w:t>不</w:t>
      </w:r>
      <w:r>
        <w:rPr>
          <w:rFonts w:hint="eastAsia" w:asciiTheme="majorEastAsia" w:hAnsiTheme="majorEastAsia" w:eastAsiaTheme="majorEastAsia" w:cstheme="majorEastAsia"/>
          <w:bCs/>
          <w:kern w:val="2"/>
        </w:rPr>
        <w:t>成功</w:t>
      </w:r>
      <w:r>
        <w:rPr>
          <w:rFonts w:hint="eastAsia" w:asciiTheme="majorEastAsia" w:hAnsiTheme="majorEastAsia" w:eastAsiaTheme="majorEastAsia" w:cstheme="majorEastAsia"/>
          <w:bCs/>
          <w:kern w:val="2"/>
          <w:lang w:val="en-US" w:eastAsia="zh-CN"/>
        </w:rPr>
        <w:t>的</w:t>
      </w:r>
      <w:r>
        <w:rPr>
          <w:rFonts w:hint="eastAsia" w:asciiTheme="majorEastAsia" w:hAnsiTheme="majorEastAsia" w:eastAsiaTheme="majorEastAsia" w:cstheme="majorEastAsia"/>
          <w:bCs/>
          <w:kern w:val="2"/>
        </w:rPr>
        <w:t>，</w:t>
      </w:r>
      <w:r>
        <w:rPr>
          <w:rFonts w:hint="eastAsia" w:asciiTheme="majorEastAsia" w:hAnsiTheme="majorEastAsia" w:eastAsiaTheme="majorEastAsia" w:cstheme="majorEastAsia"/>
          <w:bCs/>
          <w:kern w:val="2"/>
          <w:lang w:val="en-US" w:eastAsia="zh-CN"/>
        </w:rPr>
        <w:t>竞买保证金</w:t>
      </w:r>
      <w:r>
        <w:rPr>
          <w:rFonts w:hint="eastAsia" w:asciiTheme="majorEastAsia" w:hAnsiTheme="majorEastAsia" w:eastAsiaTheme="majorEastAsia" w:cstheme="majorEastAsia"/>
          <w:bCs/>
          <w:kern w:val="2"/>
        </w:rPr>
        <w:t>将于</w:t>
      </w:r>
      <w:r>
        <w:rPr>
          <w:rFonts w:hint="eastAsia" w:asciiTheme="majorEastAsia" w:hAnsiTheme="majorEastAsia" w:eastAsiaTheme="majorEastAsia" w:cstheme="majorEastAsia"/>
          <w:bCs/>
          <w:kern w:val="2"/>
          <w:lang w:val="en-US" w:eastAsia="zh-CN"/>
        </w:rPr>
        <w:t>拍卖会后</w:t>
      </w:r>
      <w:r>
        <w:rPr>
          <w:rFonts w:hint="eastAsia" w:asciiTheme="majorEastAsia" w:hAnsiTheme="majorEastAsia" w:eastAsiaTheme="majorEastAsia" w:cstheme="majorEastAsia"/>
          <w:bCs/>
          <w:kern w:val="2"/>
        </w:rPr>
        <w:t>5个工作日内无息</w:t>
      </w:r>
      <w:r>
        <w:rPr>
          <w:rFonts w:hint="eastAsia" w:asciiTheme="majorEastAsia" w:hAnsiTheme="majorEastAsia" w:eastAsiaTheme="majorEastAsia" w:cstheme="majorEastAsia"/>
          <w:bCs/>
          <w:kern w:val="2"/>
          <w:lang w:val="en-US" w:eastAsia="zh-CN"/>
        </w:rPr>
        <w:t>退还</w:t>
      </w:r>
      <w:r>
        <w:rPr>
          <w:rFonts w:hint="eastAsia" w:asciiTheme="majorEastAsia" w:hAnsiTheme="majorEastAsia" w:eastAsiaTheme="majorEastAsia" w:cstheme="majorEastAsia"/>
          <w:bCs/>
          <w:kern w:val="2"/>
        </w:rPr>
        <w:t>。</w:t>
      </w:r>
    </w:p>
    <w:p>
      <w:pPr>
        <w:spacing w:line="12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六</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拍卖成交后</w:t>
      </w:r>
      <w:r>
        <w:rPr>
          <w:rFonts w:hint="eastAsia" w:asciiTheme="majorEastAsia" w:hAnsiTheme="majorEastAsia" w:eastAsiaTheme="majorEastAsia" w:cstheme="majorEastAsia"/>
          <w:bCs/>
          <w:sz w:val="24"/>
          <w:szCs w:val="24"/>
        </w:rPr>
        <w:t>，买受人应当场签署《成交确认书》。</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七、拍卖成交后，买受人应在七日内</w:t>
      </w:r>
      <w:r>
        <w:rPr>
          <w:rFonts w:hint="eastAsia" w:asciiTheme="majorEastAsia" w:hAnsiTheme="majorEastAsia" w:eastAsiaTheme="majorEastAsia" w:cstheme="majorEastAsia"/>
          <w:bCs/>
          <w:sz w:val="24"/>
          <w:szCs w:val="24"/>
        </w:rPr>
        <w:t>交清成交价款</w:t>
      </w:r>
      <w:r>
        <w:rPr>
          <w:rFonts w:hint="eastAsia" w:asciiTheme="majorEastAsia" w:hAnsiTheme="majorEastAsia" w:eastAsiaTheme="majorEastAsia" w:cstheme="majorEastAsia"/>
          <w:bCs/>
          <w:sz w:val="24"/>
          <w:szCs w:val="24"/>
          <w:lang w:val="en-US" w:eastAsia="zh-CN"/>
        </w:rPr>
        <w:t>至委托人指定账户并与委托方签署《成交合同》。</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八</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拍卖成交后，买受人按照拍卖成交价款的5%的比例向拍卖人支付佣金。</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九、买受人有下列行为之一的，视为违约：</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1、买受人提供虚假失实材料的；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2、买受人串通或干扰公平竞争扰乱正常拍卖秩序的；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3、买受人逾期或拒绝签订《成交确认书》、《拍卖笔录》及其他拍卖相关文件的；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4、买受人逾期或拒绝按照本拍卖规则规定的付款期限支付成交价款和拍卖佣金的。</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买受人违约的，委托人和拍卖人有权取消其买受人资格，并有权不予返还其竞买保证金，买受人交纳的竞买保证金自动转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spacing w:line="120" w:lineRule="auto"/>
        <w:ind w:firstLine="480" w:firstLineChars="200"/>
        <w:jc w:val="left"/>
        <w:rPr>
          <w:rFonts w:hint="eastAsia" w:asciiTheme="majorEastAsia" w:hAnsiTheme="majorEastAsia" w:eastAsiaTheme="majorEastAsia" w:cstheme="majorEastAsia"/>
          <w:bCs/>
          <w:kern w:val="2"/>
          <w:sz w:val="24"/>
          <w:szCs w:val="24"/>
          <w:lang w:val="en-US" w:eastAsia="zh-CN" w:bidi="ar-SA"/>
        </w:rPr>
      </w:pPr>
      <w:bookmarkStart w:id="1" w:name="_Hlk536538247"/>
      <w:bookmarkStart w:id="2" w:name="_Hlk536538342"/>
      <w:bookmarkStart w:id="3" w:name="_Hlk536538537"/>
      <w:r>
        <w:rPr>
          <w:rFonts w:hint="eastAsia" w:asciiTheme="majorEastAsia" w:hAnsiTheme="majorEastAsia" w:eastAsiaTheme="majorEastAsia" w:cstheme="majorEastAsia"/>
          <w:bCs/>
          <w:sz w:val="24"/>
          <w:szCs w:val="24"/>
          <w:lang w:val="en-US" w:eastAsia="zh-CN"/>
        </w:rPr>
        <w:t>十一、</w:t>
      </w:r>
      <w:bookmarkEnd w:id="1"/>
      <w:bookmarkEnd w:id="2"/>
      <w:r>
        <w:rPr>
          <w:rFonts w:hint="eastAsia" w:asciiTheme="majorEastAsia" w:hAnsiTheme="majorEastAsia" w:eastAsiaTheme="majorEastAsia" w:cstheme="majorEastAsia"/>
          <w:bCs/>
          <w:kern w:val="2"/>
          <w:sz w:val="24"/>
          <w:szCs w:val="24"/>
          <w:lang w:val="en-US" w:eastAsia="zh-CN" w:bidi="ar-SA"/>
        </w:rPr>
        <w:t>竞买成功后，买受人凭《成交确认书》、《成交合同》和成交价款交款收据办理标的物交割。</w:t>
      </w:r>
    </w:p>
    <w:bookmarkEnd w:id="3"/>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十二、</w:t>
      </w:r>
      <w:r>
        <w:rPr>
          <w:rFonts w:hint="eastAsia" w:asciiTheme="majorEastAsia" w:hAnsiTheme="majorEastAsia" w:eastAsiaTheme="majorEastAsia" w:cstheme="majorEastAsia"/>
          <w:bCs/>
          <w:sz w:val="24"/>
          <w:szCs w:val="24"/>
        </w:rPr>
        <w:t>合同履行期间，因政府行为或不可抗力因素，造成合同终止，由委托</w:t>
      </w:r>
      <w:r>
        <w:rPr>
          <w:rFonts w:hint="eastAsia" w:asciiTheme="majorEastAsia" w:hAnsiTheme="majorEastAsia" w:eastAsiaTheme="majorEastAsia" w:cstheme="majorEastAsia"/>
          <w:bCs/>
          <w:sz w:val="24"/>
          <w:szCs w:val="24"/>
          <w:lang w:val="en-US" w:eastAsia="zh-CN"/>
        </w:rPr>
        <w:t>人和</w:t>
      </w:r>
      <w:r>
        <w:rPr>
          <w:rFonts w:hint="eastAsia" w:asciiTheme="majorEastAsia" w:hAnsiTheme="majorEastAsia" w:eastAsiaTheme="majorEastAsia" w:cstheme="majorEastAsia"/>
          <w:bCs/>
          <w:sz w:val="24"/>
          <w:szCs w:val="24"/>
        </w:rPr>
        <w:t>买受人协商解决。</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8" w:hRule="atLeast"/>
        </w:trPr>
        <w:tc>
          <w:tcPr>
            <w:tcW w:w="9040" w:type="dxa"/>
          </w:tcPr>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十三、特别声明：</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1、拍卖活动所披露的评估报告、审计报告、鉴定意见等资料仅是确定拍卖标的物起拍价的参考，不是委托人、拍卖人对标的物品质、质量和数量的保证和承诺，竞买人应当充分预估其中风险并自行承担责任。</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2、委托人、拍卖人不能保证拍卖标的物的真伪、品质和具体数量，不承担瑕疵担保责任。</w:t>
            </w:r>
          </w:p>
          <w:p>
            <w:pPr>
              <w:spacing w:line="120" w:lineRule="auto"/>
              <w:ind w:firstLine="482" w:firstLineChars="200"/>
              <w:jc w:val="left"/>
              <w:rPr>
                <w:rFonts w:hint="eastAsia" w:ascii="黑体" w:hAnsi="黑体" w:eastAsia="黑体" w:cs="黑体"/>
                <w:b/>
                <w:bCs w:val="0"/>
                <w:sz w:val="28"/>
                <w:szCs w:val="28"/>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拍卖人补偿。</w:t>
            </w:r>
            <w:r>
              <w:rPr>
                <w:rFonts w:hint="eastAsia" w:ascii="黑体" w:hAnsi="黑体" w:eastAsia="黑体" w:cs="黑体"/>
                <w:b/>
                <w:bCs w:val="0"/>
                <w:sz w:val="28"/>
                <w:szCs w:val="28"/>
                <w:u w:val="none"/>
                <w:lang w:val="en-US" w:eastAsia="zh-CN"/>
              </w:rPr>
              <w:t xml:space="preserve"> </w:t>
            </w:r>
          </w:p>
          <w:p>
            <w:pPr>
              <w:spacing w:line="120" w:lineRule="auto"/>
              <w:ind w:firstLine="562" w:firstLineChars="200"/>
              <w:jc w:val="left"/>
              <w:rPr>
                <w:rFonts w:hint="eastAsia" w:ascii="黑体" w:hAnsi="黑体" w:eastAsia="黑体" w:cs="黑体"/>
                <w:b/>
                <w:bCs w:val="0"/>
                <w:sz w:val="28"/>
                <w:szCs w:val="28"/>
                <w:u w:val="none"/>
                <w:lang w:val="en-US" w:eastAsia="zh-CN"/>
              </w:rPr>
            </w:pP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您如果同意本拍卖规则并参加拍卖，请您将下面一段话抄写在下方空白处，然后签字盖章。</w:t>
            </w:r>
          </w:p>
          <w:p>
            <w:pPr>
              <w:spacing w:line="120" w:lineRule="auto"/>
              <w:ind w:firstLine="482" w:firstLineChars="200"/>
              <w:jc w:val="left"/>
              <w:rPr>
                <w:rFonts w:hint="eastAsia" w:ascii="黑体" w:hAnsi="黑体" w:eastAsia="黑体" w:cs="黑体"/>
                <w:b/>
                <w:bCs w:val="0"/>
                <w:sz w:val="24"/>
                <w:szCs w:val="24"/>
                <w:lang w:val="en-US" w:eastAsia="zh-CN"/>
              </w:rPr>
            </w:pPr>
          </w:p>
          <w:p>
            <w:pPr>
              <w:numPr>
                <w:ilvl w:val="0"/>
                <w:numId w:val="0"/>
              </w:numPr>
              <w:ind w:firstLine="482" w:firstLineChars="200"/>
              <w:rPr>
                <w:rFonts w:hint="eastAsia" w:ascii="黑体" w:hAnsi="黑体" w:eastAsia="黑体" w:cs="黑体"/>
                <w:b/>
                <w:bCs w:val="0"/>
                <w:i/>
                <w:iCs/>
                <w:sz w:val="24"/>
                <w:szCs w:val="28"/>
                <w:u w:val="none"/>
                <w:lang w:val="en-US" w:eastAsia="zh-CN"/>
              </w:rPr>
            </w:pPr>
            <w:r>
              <w:rPr>
                <w:rFonts w:hint="eastAsia" w:ascii="黑体" w:hAnsi="黑体" w:eastAsia="黑体" w:cs="黑体"/>
                <w:b/>
                <w:bCs w:val="0"/>
                <w:i/>
                <w:iCs/>
                <w:sz w:val="24"/>
                <w:szCs w:val="28"/>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黑体" w:hAnsi="黑体" w:eastAsia="黑体" w:cs="黑体"/>
                <w:b/>
                <w:bCs/>
                <w:sz w:val="24"/>
                <w:szCs w:val="24"/>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2249" w:firstLineChars="800"/>
              <w:jc w:val="both"/>
              <w:rPr>
                <w:rFonts w:hint="eastAsia" w:ascii="黑体" w:hAnsi="黑体" w:eastAsia="黑体" w:cs="黑体"/>
                <w:b/>
                <w:bCs w:val="0"/>
                <w:sz w:val="28"/>
                <w:szCs w:val="28"/>
                <w:u w:val="none"/>
                <w:lang w:val="en-US" w:eastAsia="zh-CN"/>
              </w:rPr>
            </w:pPr>
          </w:p>
          <w:p>
            <w:pPr>
              <w:spacing w:line="120" w:lineRule="auto"/>
              <w:ind w:firstLine="3373" w:firstLineChars="1200"/>
              <w:jc w:val="both"/>
              <w:rPr>
                <w:rFonts w:hint="eastAsia"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签字(盖章)：</w:t>
            </w:r>
          </w:p>
          <w:p>
            <w:pPr>
              <w:spacing w:line="120" w:lineRule="auto"/>
              <w:ind w:firstLine="3373" w:firstLineChars="1200"/>
              <w:jc w:val="both"/>
              <w:rPr>
                <w:rFonts w:hint="default"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联系电话：</w:t>
            </w:r>
          </w:p>
        </w:tc>
      </w:tr>
    </w:tbl>
    <w:p>
      <w:pPr>
        <w:numPr>
          <w:ilvl w:val="0"/>
          <w:numId w:val="0"/>
        </w:numPr>
        <w:spacing w:line="120" w:lineRule="auto"/>
        <w:ind w:firstLine="4779" w:firstLineChars="1700"/>
        <w:jc w:val="left"/>
        <w:rPr>
          <w:rFonts w:hint="eastAsia" w:asciiTheme="majorEastAsia" w:hAnsiTheme="majorEastAsia" w:eastAsiaTheme="majorEastAsia" w:cstheme="majorEastAsia"/>
          <w:b/>
          <w:bCs/>
          <w:sz w:val="24"/>
          <w:szCs w:val="24"/>
          <w:lang w:val="en-US" w:eastAsia="zh-CN"/>
        </w:rPr>
      </w:pPr>
      <w:r>
        <w:rPr>
          <w:rFonts w:hint="eastAsia" w:ascii="黑体" w:hAnsi="黑体" w:eastAsia="黑体" w:cs="黑体"/>
          <w:b/>
          <w:bCs w:val="0"/>
          <w:sz w:val="28"/>
          <w:szCs w:val="28"/>
          <w:u w:val="none"/>
          <w:lang w:val="en-US" w:eastAsia="zh-CN"/>
        </w:rPr>
        <w:t>竞买人(盖章)：</w:t>
      </w:r>
      <w:r>
        <w:rPr>
          <w:rFonts w:hint="eastAsia" w:asciiTheme="majorEastAsia" w:hAnsiTheme="majorEastAsia" w:eastAsiaTheme="majorEastAsia" w:cstheme="majorEastAsia"/>
          <w:b/>
          <w:bCs/>
          <w:sz w:val="24"/>
          <w:szCs w:val="24"/>
          <w:lang w:val="en-US" w:eastAsia="zh-CN"/>
        </w:rPr>
        <w:t xml:space="preserve"> </w:t>
      </w:r>
    </w:p>
    <w:p>
      <w:pPr>
        <w:numPr>
          <w:ilvl w:val="0"/>
          <w:numId w:val="0"/>
        </w:numPr>
        <w:spacing w:line="120" w:lineRule="auto"/>
        <w:jc w:val="left"/>
        <w:rPr>
          <w:rFonts w:hint="default" w:asciiTheme="majorEastAsia" w:hAnsiTheme="majorEastAsia" w:eastAsiaTheme="majorEastAsia" w:cstheme="majorEastAsia"/>
          <w:b/>
          <w:bCs/>
          <w:sz w:val="24"/>
          <w:szCs w:val="24"/>
          <w:lang w:val="en-US" w:eastAsia="zh-CN"/>
        </w:rPr>
      </w:pP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年   月   日</w:t>
      </w: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p>
    <w:p>
      <w:pPr>
        <w:numPr>
          <w:ilvl w:val="0"/>
          <w:numId w:val="0"/>
        </w:numPr>
        <w:spacing w:line="120" w:lineRule="auto"/>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菏泽市兴菏国有产权交易有限责任公司</w:t>
      </w:r>
    </w:p>
    <w:p>
      <w:pPr>
        <w:numPr>
          <w:ilvl w:val="0"/>
          <w:numId w:val="0"/>
        </w:numPr>
        <w:spacing w:line="120" w:lineRule="auto"/>
        <w:ind w:firstLine="5040" w:firstLineChars="2100"/>
        <w:jc w:val="left"/>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山东翰光拍卖有限公司</w:t>
      </w:r>
    </w:p>
    <w:p>
      <w:pPr>
        <w:spacing w:line="120" w:lineRule="auto"/>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 xml:space="preserve">  20</w:t>
      </w:r>
      <w:r>
        <w:rPr>
          <w:rFonts w:hint="eastAsia" w:asciiTheme="majorEastAsia" w:hAnsiTheme="majorEastAsia" w:eastAsiaTheme="majorEastAsia" w:cstheme="majorEastAsia"/>
          <w:bCs/>
          <w:sz w:val="24"/>
          <w:szCs w:val="24"/>
          <w:lang w:val="en-US" w:eastAsia="zh-CN"/>
        </w:rPr>
        <w:t>20</w:t>
      </w:r>
      <w:r>
        <w:rPr>
          <w:rFonts w:hint="eastAsia" w:asciiTheme="majorEastAsia" w:hAnsiTheme="majorEastAsia" w:eastAsiaTheme="majorEastAsia" w:cstheme="majorEastAsia"/>
          <w:bCs/>
          <w:sz w:val="24"/>
          <w:szCs w:val="24"/>
        </w:rPr>
        <w:t>年</w:t>
      </w:r>
      <w:r>
        <w:rPr>
          <w:rFonts w:hint="eastAsia" w:asciiTheme="majorEastAsia" w:hAnsiTheme="majorEastAsia" w:eastAsiaTheme="majorEastAsia" w:cstheme="majorEastAsia"/>
          <w:bCs/>
          <w:sz w:val="24"/>
          <w:szCs w:val="24"/>
          <w:lang w:val="en-US" w:eastAsia="zh-CN"/>
        </w:rPr>
        <w:t>1</w:t>
      </w:r>
      <w:r>
        <w:rPr>
          <w:rFonts w:hint="eastAsia" w:asciiTheme="majorEastAsia" w:hAnsiTheme="majorEastAsia" w:eastAsiaTheme="majorEastAsia" w:cstheme="majorEastAsia"/>
          <w:bCs/>
          <w:sz w:val="24"/>
          <w:szCs w:val="24"/>
        </w:rPr>
        <w:t>月</w:t>
      </w:r>
      <w:r>
        <w:rPr>
          <w:rFonts w:hint="eastAsia" w:asciiTheme="majorEastAsia" w:hAnsiTheme="majorEastAsia" w:eastAsiaTheme="majorEastAsia" w:cstheme="majorEastAsia"/>
          <w:bCs/>
          <w:sz w:val="24"/>
          <w:szCs w:val="24"/>
          <w:lang w:val="en-US" w:eastAsia="zh-CN"/>
        </w:rPr>
        <w:t>2</w:t>
      </w:r>
      <w:r>
        <w:rPr>
          <w:rFonts w:hint="eastAsia" w:asciiTheme="majorEastAsia" w:hAnsiTheme="majorEastAsia" w:eastAsiaTheme="majorEastAsia" w:cstheme="majorEastAsia"/>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6B51"/>
    <w:rsid w:val="00083295"/>
    <w:rsid w:val="0008759D"/>
    <w:rsid w:val="0010378C"/>
    <w:rsid w:val="001609E1"/>
    <w:rsid w:val="00162331"/>
    <w:rsid w:val="00175D2C"/>
    <w:rsid w:val="001801E4"/>
    <w:rsid w:val="001823AA"/>
    <w:rsid w:val="001A0CF2"/>
    <w:rsid w:val="00245F72"/>
    <w:rsid w:val="002508F9"/>
    <w:rsid w:val="00266A71"/>
    <w:rsid w:val="00293179"/>
    <w:rsid w:val="002A1782"/>
    <w:rsid w:val="00336FD2"/>
    <w:rsid w:val="00342CF9"/>
    <w:rsid w:val="00355D18"/>
    <w:rsid w:val="003743DA"/>
    <w:rsid w:val="00382880"/>
    <w:rsid w:val="00384D92"/>
    <w:rsid w:val="003F2FBA"/>
    <w:rsid w:val="00422A14"/>
    <w:rsid w:val="00423048"/>
    <w:rsid w:val="00447594"/>
    <w:rsid w:val="004A18D9"/>
    <w:rsid w:val="004D7D67"/>
    <w:rsid w:val="004F5560"/>
    <w:rsid w:val="00511693"/>
    <w:rsid w:val="00567DCE"/>
    <w:rsid w:val="005D6A72"/>
    <w:rsid w:val="005D7D6C"/>
    <w:rsid w:val="005F5EDA"/>
    <w:rsid w:val="0061768D"/>
    <w:rsid w:val="00624719"/>
    <w:rsid w:val="0070700D"/>
    <w:rsid w:val="0071228D"/>
    <w:rsid w:val="007153D2"/>
    <w:rsid w:val="007308E8"/>
    <w:rsid w:val="00776875"/>
    <w:rsid w:val="00786745"/>
    <w:rsid w:val="007C0117"/>
    <w:rsid w:val="007D32D7"/>
    <w:rsid w:val="008208AD"/>
    <w:rsid w:val="008541FB"/>
    <w:rsid w:val="008635EA"/>
    <w:rsid w:val="008B37A2"/>
    <w:rsid w:val="0092088F"/>
    <w:rsid w:val="0094291A"/>
    <w:rsid w:val="00952988"/>
    <w:rsid w:val="009D6296"/>
    <w:rsid w:val="009F44D4"/>
    <w:rsid w:val="00A20D57"/>
    <w:rsid w:val="00A353A7"/>
    <w:rsid w:val="00A425AD"/>
    <w:rsid w:val="00A56847"/>
    <w:rsid w:val="00A9254D"/>
    <w:rsid w:val="00AD0962"/>
    <w:rsid w:val="00B37A2A"/>
    <w:rsid w:val="00B818B7"/>
    <w:rsid w:val="00B96FF8"/>
    <w:rsid w:val="00BC0693"/>
    <w:rsid w:val="00C0251B"/>
    <w:rsid w:val="00C279C1"/>
    <w:rsid w:val="00C65509"/>
    <w:rsid w:val="00CA2C31"/>
    <w:rsid w:val="00CC0E6E"/>
    <w:rsid w:val="00D20541"/>
    <w:rsid w:val="00D25221"/>
    <w:rsid w:val="00D60815"/>
    <w:rsid w:val="00D609E1"/>
    <w:rsid w:val="00D86A12"/>
    <w:rsid w:val="00D90359"/>
    <w:rsid w:val="00DE04DF"/>
    <w:rsid w:val="00E83A25"/>
    <w:rsid w:val="00E96D3A"/>
    <w:rsid w:val="00EB3E82"/>
    <w:rsid w:val="00EC4013"/>
    <w:rsid w:val="00EC7832"/>
    <w:rsid w:val="00EE4A40"/>
    <w:rsid w:val="00F13848"/>
    <w:rsid w:val="00F22003"/>
    <w:rsid w:val="00F40800"/>
    <w:rsid w:val="00F55E69"/>
    <w:rsid w:val="00F66A9E"/>
    <w:rsid w:val="00F7593F"/>
    <w:rsid w:val="00FB2152"/>
    <w:rsid w:val="00FC42FC"/>
    <w:rsid w:val="00FD6A17"/>
    <w:rsid w:val="017A7DF9"/>
    <w:rsid w:val="02B1711F"/>
    <w:rsid w:val="053406AC"/>
    <w:rsid w:val="0AA81D7F"/>
    <w:rsid w:val="0BA02885"/>
    <w:rsid w:val="0BAA35DF"/>
    <w:rsid w:val="104F7B81"/>
    <w:rsid w:val="109A2537"/>
    <w:rsid w:val="10BA595F"/>
    <w:rsid w:val="13301037"/>
    <w:rsid w:val="14786A57"/>
    <w:rsid w:val="1B4118EF"/>
    <w:rsid w:val="1CCE6810"/>
    <w:rsid w:val="20D469C1"/>
    <w:rsid w:val="21C52585"/>
    <w:rsid w:val="221B4FF0"/>
    <w:rsid w:val="26D04225"/>
    <w:rsid w:val="28185BF1"/>
    <w:rsid w:val="29C014FD"/>
    <w:rsid w:val="29D2565A"/>
    <w:rsid w:val="2A89345F"/>
    <w:rsid w:val="2C8D79AC"/>
    <w:rsid w:val="305C5273"/>
    <w:rsid w:val="33BB251F"/>
    <w:rsid w:val="3479066A"/>
    <w:rsid w:val="36CB2C0D"/>
    <w:rsid w:val="3B9D2ACF"/>
    <w:rsid w:val="416178F3"/>
    <w:rsid w:val="497D4BD5"/>
    <w:rsid w:val="4C73512E"/>
    <w:rsid w:val="4D6328A1"/>
    <w:rsid w:val="4D7D5241"/>
    <w:rsid w:val="51C034AC"/>
    <w:rsid w:val="53E83A0F"/>
    <w:rsid w:val="54A43D36"/>
    <w:rsid w:val="558F1206"/>
    <w:rsid w:val="599E68A8"/>
    <w:rsid w:val="5B2E1C98"/>
    <w:rsid w:val="5B6A6B68"/>
    <w:rsid w:val="5C4D7B47"/>
    <w:rsid w:val="5CC11EAE"/>
    <w:rsid w:val="5D3D3457"/>
    <w:rsid w:val="5D6056EE"/>
    <w:rsid w:val="60F65B17"/>
    <w:rsid w:val="63006C86"/>
    <w:rsid w:val="64B05F49"/>
    <w:rsid w:val="680E4BEE"/>
    <w:rsid w:val="6AB70842"/>
    <w:rsid w:val="6C790340"/>
    <w:rsid w:val="6CDB3340"/>
    <w:rsid w:val="6E26507D"/>
    <w:rsid w:val="6F185668"/>
    <w:rsid w:val="71572C45"/>
    <w:rsid w:val="71EA7A4F"/>
    <w:rsid w:val="72C402A5"/>
    <w:rsid w:val="754D4C50"/>
    <w:rsid w:val="75940FF1"/>
    <w:rsid w:val="7A1A6913"/>
    <w:rsid w:val="7A995FC4"/>
    <w:rsid w:val="7BB74769"/>
    <w:rsid w:val="7BF97AC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538" w:firstLineChars="192"/>
    </w:pPr>
    <w:rPr>
      <w:rFonts w:ascii="宋体" w:hAnsi="宋体"/>
      <w:sz w:val="28"/>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页眉 字符"/>
    <w:basedOn w:val="9"/>
    <w:link w:val="4"/>
    <w:qFormat/>
    <w:uiPriority w:val="99"/>
    <w:rPr>
      <w:rFonts w:asciiTheme="minorHAnsi" w:hAnsiTheme="minorHAnsi" w:eastAsiaTheme="minorEastAsia" w:cstheme="minorBidi"/>
      <w:kern w:val="2"/>
      <w:sz w:val="18"/>
      <w:szCs w:val="18"/>
    </w:rPr>
  </w:style>
  <w:style w:type="character" w:customStyle="1" w:styleId="12">
    <w:name w:val="页脚 字符"/>
    <w:basedOn w:val="9"/>
    <w:link w:val="3"/>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323</Words>
  <Characters>1842</Characters>
  <Lines>15</Lines>
  <Paragraphs>4</Paragraphs>
  <TotalTime>6</TotalTime>
  <ScaleCrop>false</ScaleCrop>
  <LinksUpToDate>false</LinksUpToDate>
  <CharactersWithSpaces>2161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2019-12-26T07:52:00Z</cp:lastPrinted>
  <dcterms:modified xsi:type="dcterms:W3CDTF">2020-01-02T02:28:47Z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