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120" w:lineRule="auto"/>
        <w:ind w:leftChars="0"/>
        <w:jc w:val="center"/>
        <w:rPr>
          <w:rFonts w:hint="eastAsia" w:asciiTheme="majorEastAsia" w:hAnsiTheme="majorEastAsia" w:eastAsiaTheme="majorEastAsia" w:cstheme="majorEastAsia"/>
          <w:b/>
          <w:bCs w:val="0"/>
          <w:sz w:val="44"/>
          <w:szCs w:val="44"/>
          <w:lang w:val="en-US" w:eastAsia="zh-CN"/>
        </w:rPr>
      </w:pPr>
      <w:r>
        <w:rPr>
          <w:rFonts w:hint="eastAsia" w:asciiTheme="majorEastAsia" w:hAnsiTheme="majorEastAsia" w:eastAsiaTheme="majorEastAsia" w:cstheme="majorEastAsia"/>
          <w:b/>
          <w:bCs w:val="0"/>
          <w:sz w:val="44"/>
          <w:szCs w:val="44"/>
          <w:lang w:val="en-US" w:eastAsia="zh-CN"/>
        </w:rPr>
        <w:t>拍卖规则</w:t>
      </w:r>
    </w:p>
    <w:p>
      <w:pPr>
        <w:numPr>
          <w:ilvl w:val="0"/>
          <w:numId w:val="1"/>
        </w:numPr>
        <w:spacing w:line="120" w:lineRule="auto"/>
        <w:ind w:left="0" w:leftChars="0" w:firstLine="420" w:firstLineChars="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本规则根据《中华人民共和国拍卖法》及相关法律、法规，并遵循公开、公平、公正、诚实信用的原则及价高者得的规则制定。</w:t>
      </w:r>
    </w:p>
    <w:p>
      <w:pPr>
        <w:numPr>
          <w:ilvl w:val="0"/>
          <w:numId w:val="1"/>
        </w:numPr>
        <w:spacing w:line="120" w:lineRule="auto"/>
        <w:ind w:left="0" w:leftChars="0" w:firstLine="420" w:firstLine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拍卖活动当事人应当遵守拍卖法律、法规的规定和本规则。当事人之间不得恶意串通，不得阻扰竞买人竞价，不得有操纵、垄断等违法行为。上述行为</w:t>
      </w:r>
      <w:r>
        <w:rPr>
          <w:rFonts w:hint="eastAsia" w:asciiTheme="majorEastAsia" w:hAnsiTheme="majorEastAsia" w:eastAsiaTheme="majorEastAsia" w:cstheme="majorEastAsia"/>
          <w:sz w:val="24"/>
          <w:szCs w:val="24"/>
          <w:lang w:val="en-US" w:eastAsia="zh-CN"/>
        </w:rPr>
        <w:t>一经发现</w:t>
      </w:r>
      <w:r>
        <w:rPr>
          <w:rFonts w:hint="eastAsia" w:asciiTheme="majorEastAsia" w:hAnsiTheme="majorEastAsia" w:eastAsiaTheme="majorEastAsia" w:cstheme="majorEastAsia"/>
          <w:sz w:val="24"/>
          <w:szCs w:val="24"/>
        </w:rPr>
        <w:t>，将取消其竞买资格，并追究相关的法律责任。</w:t>
      </w:r>
    </w:p>
    <w:p>
      <w:pPr>
        <w:numPr>
          <w:ilvl w:val="0"/>
          <w:numId w:val="1"/>
        </w:numPr>
        <w:spacing w:line="120" w:lineRule="auto"/>
        <w:ind w:left="0" w:leftChars="0" w:firstLine="420" w:firstLineChars="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拍卖标的：曹县蒙泽湖商业街4套房产</w:t>
      </w:r>
      <w:bookmarkStart w:id="0" w:name="_Hlk13732987"/>
      <w:r>
        <w:rPr>
          <w:rFonts w:hint="eastAsia" w:asciiTheme="majorEastAsia" w:hAnsiTheme="majorEastAsia" w:eastAsiaTheme="majorEastAsia" w:cstheme="majorEastAsia"/>
          <w:bCs/>
          <w:sz w:val="24"/>
          <w:szCs w:val="24"/>
          <w:lang w:val="en-US" w:eastAsia="zh-CN"/>
        </w:rPr>
        <w:t>，编号为193、194、</w:t>
      </w:r>
      <w:r>
        <w:rPr>
          <w:rFonts w:hint="default" w:asciiTheme="majorEastAsia" w:hAnsiTheme="majorEastAsia" w:eastAsiaTheme="majorEastAsia" w:cstheme="majorEastAsia"/>
          <w:bCs/>
          <w:sz w:val="24"/>
          <w:szCs w:val="24"/>
          <w:lang w:val="en-US" w:eastAsia="zh-CN"/>
        </w:rPr>
        <w:t>195</w:t>
      </w:r>
      <w:r>
        <w:rPr>
          <w:rFonts w:hint="eastAsia" w:asciiTheme="majorEastAsia" w:hAnsiTheme="majorEastAsia" w:eastAsiaTheme="majorEastAsia" w:cstheme="majorEastAsia"/>
          <w:bCs/>
          <w:sz w:val="24"/>
          <w:szCs w:val="24"/>
          <w:lang w:val="en-US" w:eastAsia="zh-CN"/>
        </w:rPr>
        <w:t>、</w:t>
      </w:r>
      <w:r>
        <w:rPr>
          <w:rFonts w:hint="default" w:asciiTheme="majorEastAsia" w:hAnsiTheme="majorEastAsia" w:eastAsiaTheme="majorEastAsia" w:cstheme="majorEastAsia"/>
          <w:bCs/>
          <w:sz w:val="24"/>
          <w:szCs w:val="24"/>
          <w:lang w:val="en-US" w:eastAsia="zh-CN"/>
        </w:rPr>
        <w:t>196,</w:t>
      </w:r>
      <w:r>
        <w:rPr>
          <w:rFonts w:hint="eastAsia" w:asciiTheme="majorEastAsia" w:hAnsiTheme="majorEastAsia" w:eastAsiaTheme="majorEastAsia" w:cstheme="majorEastAsia"/>
          <w:bCs/>
          <w:sz w:val="24"/>
          <w:szCs w:val="24"/>
          <w:lang w:val="en-US" w:eastAsia="zh-CN"/>
        </w:rPr>
        <w:t>每套面积约为</w:t>
      </w:r>
      <w:r>
        <w:rPr>
          <w:rFonts w:hint="default" w:asciiTheme="majorEastAsia" w:hAnsiTheme="majorEastAsia" w:eastAsiaTheme="majorEastAsia" w:cstheme="majorEastAsia"/>
          <w:bCs/>
          <w:sz w:val="24"/>
          <w:szCs w:val="24"/>
          <w:lang w:val="en-US" w:eastAsia="zh-CN"/>
        </w:rPr>
        <w:t>64</w:t>
      </w:r>
      <w:r>
        <w:rPr>
          <w:rFonts w:hint="eastAsia" w:asciiTheme="majorEastAsia" w:hAnsiTheme="majorEastAsia" w:eastAsiaTheme="majorEastAsia" w:cstheme="majorEastAsia"/>
          <w:bCs/>
          <w:sz w:val="24"/>
          <w:szCs w:val="24"/>
          <w:lang w:val="en-US" w:eastAsia="zh-CN"/>
        </w:rPr>
        <w:t>平方米，详见《评估报告书》鲁中慧评字[2020]第001号， 底价：249472.00元/套</w:t>
      </w:r>
      <w:bookmarkEnd w:id="0"/>
      <w:r>
        <w:rPr>
          <w:rFonts w:hint="eastAsia" w:asciiTheme="majorEastAsia" w:hAnsiTheme="majorEastAsia" w:eastAsiaTheme="majorEastAsia" w:cstheme="majorEastAsia"/>
          <w:bCs/>
          <w:sz w:val="24"/>
          <w:szCs w:val="24"/>
          <w:lang w:val="en-US" w:eastAsia="zh-CN"/>
        </w:rPr>
        <w:t>。</w:t>
      </w:r>
    </w:p>
    <w:p>
      <w:pPr>
        <w:numPr>
          <w:ilvl w:val="0"/>
          <w:numId w:val="1"/>
        </w:numPr>
        <w:spacing w:line="120" w:lineRule="auto"/>
        <w:ind w:left="0" w:leftChars="0" w:firstLine="420" w:firstLineChars="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竞买人应严肃认真地举牌竞价并妥善保管号牌，并对该号牌的竞价行为承担责任。</w:t>
      </w:r>
    </w:p>
    <w:p>
      <w:pPr>
        <w:numPr>
          <w:ilvl w:val="0"/>
          <w:numId w:val="1"/>
        </w:numPr>
        <w:spacing w:line="120" w:lineRule="auto"/>
        <w:ind w:left="0" w:leftChars="0" w:firstLine="420" w:firstLineChars="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竞买人最高应价经拍卖师以落槌或者其他公开表示买定的方式确认后，拍卖成交。竞买人随即成为该标的的买受人，买受人须现场与拍卖人签署《成交确认书》和《拍卖笔录》。</w:t>
      </w:r>
    </w:p>
    <w:p>
      <w:pPr>
        <w:numPr>
          <w:ilvl w:val="0"/>
          <w:numId w:val="1"/>
        </w:numPr>
        <w:spacing w:line="120" w:lineRule="auto"/>
        <w:ind w:left="0" w:leftChars="0" w:firstLine="420" w:firstLineChars="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拍卖成交后，</w:t>
      </w:r>
      <w:r>
        <w:rPr>
          <w:rFonts w:hint="eastAsia" w:asciiTheme="majorEastAsia" w:hAnsiTheme="majorEastAsia" w:eastAsiaTheme="majorEastAsia" w:cstheme="majorEastAsia"/>
          <w:b/>
          <w:bCs w:val="0"/>
          <w:sz w:val="24"/>
          <w:szCs w:val="24"/>
          <w:lang w:val="en-US" w:eastAsia="zh-CN"/>
        </w:rPr>
        <w:t>买受人应在成交之日起五日内付清成交价款和成交价5%的佣金，并与委托人签署《成交合同》</w:t>
      </w:r>
      <w:r>
        <w:rPr>
          <w:rFonts w:hint="eastAsia" w:asciiTheme="majorEastAsia" w:hAnsiTheme="majorEastAsia" w:eastAsiaTheme="majorEastAsia" w:cstheme="majorEastAsia"/>
          <w:bCs/>
          <w:sz w:val="24"/>
          <w:szCs w:val="24"/>
          <w:lang w:val="en-US" w:eastAsia="zh-CN"/>
        </w:rPr>
        <w:t>。买受人在付清全部成交价款和佣金后，拍卖人将买受人的竞买保证金无息返还。竞买未成功，拍卖人将于5个工作日内，将保证金无息返还。</w:t>
      </w:r>
    </w:p>
    <w:p>
      <w:pPr>
        <w:numPr>
          <w:ilvl w:val="0"/>
          <w:numId w:val="1"/>
        </w:numPr>
        <w:spacing w:line="120" w:lineRule="auto"/>
        <w:ind w:left="0" w:leftChars="0" w:firstLine="420" w:firstLineChars="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该标的未办理不动产权证，买受人自行承担转让标的无法过户的风险。</w:t>
      </w:r>
    </w:p>
    <w:p>
      <w:pPr>
        <w:numPr>
          <w:ilvl w:val="0"/>
          <w:numId w:val="1"/>
        </w:numPr>
        <w:spacing w:line="120" w:lineRule="auto"/>
        <w:ind w:left="0" w:leftChars="0" w:firstLine="420" w:firstLineChars="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买受人有下列行为之一的，视为违约：</w:t>
      </w:r>
    </w:p>
    <w:p>
      <w:pPr>
        <w:numPr>
          <w:numId w:val="0"/>
        </w:numPr>
        <w:spacing w:line="120" w:lineRule="auto"/>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1、买受人提供虚假失实材料的；</w:t>
      </w:r>
    </w:p>
    <w:p>
      <w:pPr>
        <w:numPr>
          <w:numId w:val="0"/>
        </w:numPr>
        <w:spacing w:line="120" w:lineRule="auto"/>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2、买受人串通或干扰公平竞争扰乱正常拍卖秩序的；</w:t>
      </w:r>
    </w:p>
    <w:p>
      <w:pPr>
        <w:numPr>
          <w:numId w:val="0"/>
        </w:numPr>
        <w:spacing w:line="120" w:lineRule="auto"/>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3、买受人逾期或拒绝签订《成交确认书》、《拍卖笔录》及其他拍卖相关文件的；</w:t>
      </w:r>
    </w:p>
    <w:p>
      <w:pPr>
        <w:numPr>
          <w:numId w:val="0"/>
        </w:numPr>
        <w:spacing w:line="120" w:lineRule="auto"/>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4、买受人逾期或拒绝按照本拍卖规则规定的付款期限支付成交价款和拍卖佣金的。</w:t>
      </w:r>
    </w:p>
    <w:p>
      <w:pPr>
        <w:numPr>
          <w:ilvl w:val="0"/>
          <w:numId w:val="1"/>
        </w:numPr>
        <w:spacing w:line="120" w:lineRule="auto"/>
        <w:ind w:left="0" w:leftChars="0" w:firstLine="420" w:firstLineChars="0"/>
        <w:rPr>
          <w:rFonts w:hint="eastAsia" w:asciiTheme="majorEastAsia" w:hAnsiTheme="majorEastAsia" w:eastAsiaTheme="majorEastAsia" w:cstheme="majorEastAsia"/>
          <w:b/>
          <w:bCs w:val="0"/>
          <w:sz w:val="24"/>
          <w:szCs w:val="24"/>
          <w:lang w:val="en-US" w:eastAsia="zh-CN"/>
        </w:rPr>
      </w:pPr>
      <w:r>
        <w:rPr>
          <w:rFonts w:hint="eastAsia" w:asciiTheme="majorEastAsia" w:hAnsiTheme="majorEastAsia" w:eastAsiaTheme="majorEastAsia" w:cstheme="majorEastAsia"/>
          <w:b/>
          <w:bCs w:val="0"/>
          <w:sz w:val="24"/>
          <w:szCs w:val="24"/>
          <w:lang w:val="en-US" w:eastAsia="zh-CN"/>
        </w:rPr>
        <w:t>买受人违约的，委托人和拍卖人有权取消其买受人资格，并有权不予返还其竞买保证金，买受人交纳的竞买保证金自动转为支付给拍卖人的违约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numPr>
          <w:ilvl w:val="0"/>
          <w:numId w:val="1"/>
        </w:numPr>
        <w:spacing w:line="120" w:lineRule="auto"/>
        <w:ind w:left="0" w:leftChars="0" w:firstLine="420" w:firstLineChars="0"/>
        <w:rPr>
          <w:rFonts w:hint="eastAsia" w:asciiTheme="majorEastAsia" w:hAnsiTheme="majorEastAsia" w:eastAsiaTheme="majorEastAsia" w:cstheme="majorEastAsia"/>
          <w:b/>
          <w:bCs w:val="0"/>
          <w:sz w:val="24"/>
          <w:szCs w:val="24"/>
          <w:lang w:val="en-US" w:eastAsia="zh-CN"/>
        </w:rPr>
      </w:pPr>
      <w:r>
        <w:rPr>
          <w:rFonts w:hint="eastAsia" w:asciiTheme="majorEastAsia" w:hAnsiTheme="majorEastAsia" w:eastAsiaTheme="majorEastAsia" w:cstheme="majorEastAsia"/>
          <w:b w:val="0"/>
          <w:bCs/>
          <w:sz w:val="24"/>
          <w:szCs w:val="24"/>
          <w:lang w:val="en-US" w:eastAsia="zh-CN"/>
        </w:rPr>
        <w:t>竞买人已详细了解了拍卖标的物的现状，并实地查看了标的及与标的有关的资料。拍卖标的以公</w:t>
      </w:r>
      <w:r>
        <w:rPr>
          <w:rFonts w:hint="eastAsia" w:asciiTheme="majorEastAsia" w:hAnsiTheme="majorEastAsia" w:eastAsiaTheme="majorEastAsia" w:cstheme="majorEastAsia"/>
          <w:bCs/>
          <w:sz w:val="24"/>
          <w:szCs w:val="24"/>
          <w:lang w:val="en-US" w:eastAsia="zh-CN"/>
        </w:rPr>
        <w:t>开展示时的现状为准，委托人和拍卖人不承担瑕疵担保责任。</w:t>
      </w:r>
    </w:p>
    <w:p>
      <w:pPr>
        <w:numPr>
          <w:ilvl w:val="0"/>
          <w:numId w:val="1"/>
        </w:numPr>
        <w:spacing w:line="120" w:lineRule="auto"/>
        <w:ind w:left="0" w:leftChars="0" w:firstLine="420" w:firstLineChars="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买受人须承诺：</w:t>
      </w:r>
    </w:p>
    <w:p>
      <w:pPr>
        <w:numPr>
          <w:numId w:val="0"/>
        </w:numPr>
        <w:spacing w:line="120" w:lineRule="auto"/>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1、买受人须具有良好的财务状况和支付能力。</w:t>
      </w:r>
    </w:p>
    <w:p>
      <w:pPr>
        <w:numPr>
          <w:numId w:val="0"/>
        </w:numPr>
        <w:spacing w:line="120" w:lineRule="auto"/>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2、买受人须承诺，在挂牌公告期间已自行对标的进行了全面了解，一经递交报名材料并交纳交易保证金后，即表明理解并接受本次拍卖标的所有内容及程序，完全了解与认可拍卖标的状况以及存在的瑕疵等一切内容，并自行承担竞买该标的所带来的一切风险和后果，并不得以不了解拍卖标的为由退还拍卖标的，否则将视为违约；非因委托人原因所引发的风险因素，由受让方自行承担。</w:t>
      </w:r>
    </w:p>
    <w:p>
      <w:pPr>
        <w:numPr>
          <w:numId w:val="0"/>
        </w:numPr>
        <w:spacing w:line="120" w:lineRule="auto"/>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3、拍卖标的权属变更登记过程中所涉及的费用由买受人承担（按国家法律法规相关规定必须由转让方承担的除外）。</w:t>
      </w:r>
    </w:p>
    <w:p>
      <w:pPr>
        <w:numPr>
          <w:ilvl w:val="0"/>
          <w:numId w:val="1"/>
        </w:numPr>
        <w:spacing w:line="120" w:lineRule="auto"/>
        <w:ind w:left="0" w:leftChars="0" w:firstLine="420" w:firstLineChars="0"/>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合同履行期间，因政府行为或不可抗力因素，造成合同终止，由委托</w:t>
      </w:r>
      <w:r>
        <w:rPr>
          <w:rFonts w:hint="eastAsia" w:asciiTheme="majorEastAsia" w:hAnsiTheme="majorEastAsia" w:eastAsiaTheme="majorEastAsia" w:cstheme="majorEastAsia"/>
          <w:bCs/>
          <w:sz w:val="24"/>
          <w:szCs w:val="24"/>
          <w:lang w:val="en-US" w:eastAsia="zh-CN"/>
        </w:rPr>
        <w:t>人和</w:t>
      </w:r>
      <w:r>
        <w:rPr>
          <w:rFonts w:hint="eastAsia" w:asciiTheme="majorEastAsia" w:hAnsiTheme="majorEastAsia" w:eastAsiaTheme="majorEastAsia" w:cstheme="majorEastAsia"/>
          <w:bCs/>
          <w:sz w:val="24"/>
          <w:szCs w:val="24"/>
        </w:rPr>
        <w:t>买受人协商解决</w:t>
      </w:r>
      <w:r>
        <w:rPr>
          <w:rFonts w:hint="eastAsia" w:asciiTheme="majorEastAsia" w:hAnsiTheme="majorEastAsia" w:eastAsiaTheme="majorEastAsia" w:cstheme="majorEastAsia"/>
          <w:bCs/>
          <w:sz w:val="24"/>
          <w:szCs w:val="24"/>
          <w:lang w:eastAsia="zh-CN"/>
        </w:rPr>
        <w:t>。</w:t>
      </w: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8" w:hRule="atLeast"/>
        </w:trPr>
        <w:tc>
          <w:tcPr>
            <w:tcW w:w="9040" w:type="dxa"/>
          </w:tcPr>
          <w:p>
            <w:pPr>
              <w:numPr>
                <w:ilvl w:val="0"/>
                <w:numId w:val="1"/>
              </w:numPr>
              <w:spacing w:line="120" w:lineRule="auto"/>
              <w:ind w:left="0" w:leftChars="0" w:firstLine="420" w:firstLineChars="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特别声明：</w:t>
            </w:r>
          </w:p>
          <w:p>
            <w:pPr>
              <w:numPr>
                <w:numId w:val="0"/>
              </w:num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1、拍卖活动所披露的评估报告、审计报告、鉴定意见等资料仅是确定拍卖标的物起拍价的参考，不是委托人、拍卖人对标的物品质、质量和数量的保证和承诺，竞买人应当充分预估其中风险并自行承担责任。</w:t>
            </w:r>
          </w:p>
          <w:p>
            <w:pPr>
              <w:numPr>
                <w:numId w:val="0"/>
              </w:num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2、委托人、拍卖人不能保证拍卖标的物的真伪、品质和具体数量，不承担瑕疵担保责任。</w:t>
            </w:r>
          </w:p>
          <w:p>
            <w:pPr>
              <w:numPr>
                <w:numId w:val="0"/>
              </w:numPr>
              <w:spacing w:line="120" w:lineRule="auto"/>
              <w:ind w:firstLine="482" w:firstLineChars="200"/>
              <w:jc w:val="left"/>
              <w:rPr>
                <w:rFonts w:hint="eastAsia" w:ascii="黑体" w:hAnsi="黑体" w:eastAsia="黑体" w:cs="黑体"/>
                <w:b/>
                <w:bCs w:val="0"/>
                <w:sz w:val="24"/>
                <w:szCs w:val="24"/>
                <w:u w:val="none"/>
                <w:lang w:val="en-US" w:eastAsia="zh-CN"/>
              </w:rPr>
            </w:pPr>
            <w:r>
              <w:rPr>
                <w:rFonts w:hint="eastAsia" w:ascii="黑体" w:hAnsi="黑体" w:eastAsia="黑体" w:cs="黑体"/>
                <w:b/>
                <w:bCs w:val="0"/>
                <w:sz w:val="24"/>
                <w:szCs w:val="24"/>
                <w:lang w:val="en-US" w:eastAsia="zh-CN"/>
              </w:rPr>
              <w:t>3、拍卖标的物在合同成立时，以拍卖合同成立时的现状移交给买受人，相关风险同时转移给买受人。事后双方如办理标的物移交手续，该相关手续仅是对移交事实的确认。因标的物的特殊性，具有随时被盗、灭失等导致价值贬损的风险，移交时标的物的现状与评估或买受人考察时的状况不一致的，以移交时的现状为准，买受人不得以标的物状况发生变化而主张合同无效或要求委托人、拍卖人补偿。</w:t>
            </w:r>
            <w:r>
              <w:rPr>
                <w:rFonts w:hint="eastAsia" w:ascii="黑体" w:hAnsi="黑体" w:eastAsia="黑体" w:cs="黑体"/>
                <w:b/>
                <w:bCs w:val="0"/>
                <w:sz w:val="24"/>
                <w:szCs w:val="24"/>
                <w:u w:val="none"/>
                <w:lang w:val="en-US" w:eastAsia="zh-CN"/>
              </w:rPr>
              <w:t xml:space="preserve"> </w:t>
            </w:r>
          </w:p>
          <w:p>
            <w:pPr>
              <w:spacing w:line="120" w:lineRule="auto"/>
              <w:ind w:firstLine="482" w:firstLineChars="200"/>
              <w:jc w:val="left"/>
              <w:rPr>
                <w:rFonts w:hint="eastAsia" w:ascii="黑体" w:hAnsi="黑体" w:eastAsia="黑体" w:cs="黑体"/>
                <w:b/>
                <w:bCs w:val="0"/>
                <w:sz w:val="24"/>
                <w:szCs w:val="24"/>
                <w:u w:val="none"/>
                <w:lang w:val="en-US" w:eastAsia="zh-CN"/>
              </w:rPr>
            </w:pPr>
          </w:p>
          <w:p>
            <w:pPr>
              <w:numPr>
                <w:numId w:val="0"/>
              </w:num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您如果同意本拍卖规则并参加拍卖，请您将下面一段话抄写在下方空白处，然后签字盖章。</w:t>
            </w:r>
          </w:p>
          <w:p>
            <w:pPr>
              <w:spacing w:line="120" w:lineRule="auto"/>
              <w:ind w:firstLine="482" w:firstLineChars="200"/>
              <w:jc w:val="left"/>
              <w:rPr>
                <w:rFonts w:hint="eastAsia" w:ascii="黑体" w:hAnsi="黑体" w:eastAsia="黑体" w:cs="黑体"/>
                <w:b/>
                <w:bCs w:val="0"/>
                <w:sz w:val="24"/>
                <w:szCs w:val="24"/>
                <w:lang w:val="en-US" w:eastAsia="zh-CN"/>
              </w:rPr>
            </w:pPr>
          </w:p>
          <w:p>
            <w:pPr>
              <w:numPr>
                <w:numId w:val="0"/>
              </w:numPr>
              <w:ind w:firstLine="482" w:firstLineChars="200"/>
              <w:rPr>
                <w:rFonts w:hint="eastAsia" w:ascii="黑体" w:hAnsi="黑体" w:eastAsia="黑体" w:cs="黑体"/>
                <w:b/>
                <w:bCs w:val="0"/>
                <w:i/>
                <w:iCs/>
                <w:sz w:val="24"/>
                <w:szCs w:val="24"/>
                <w:u w:val="none"/>
                <w:lang w:val="en-US" w:eastAsia="zh-CN"/>
              </w:rPr>
            </w:pPr>
            <w:r>
              <w:rPr>
                <w:rFonts w:hint="eastAsia" w:ascii="黑体" w:hAnsi="黑体" w:eastAsia="黑体" w:cs="黑体"/>
                <w:b/>
                <w:bCs w:val="0"/>
                <w:i/>
                <w:iCs/>
                <w:sz w:val="24"/>
                <w:szCs w:val="24"/>
                <w:u w:val="single"/>
                <w:lang w:val="en-US" w:eastAsia="zh-CN"/>
              </w:rPr>
              <w:t>拍卖人已就特别声明的内容向我（单位）作了充分说明，我（单位）充分了解其内容，并自愿承担法律后果。</w:t>
            </w:r>
          </w:p>
          <w:p>
            <w:pPr>
              <w:numPr>
                <w:ilvl w:val="0"/>
                <w:numId w:val="0"/>
              </w:numPr>
              <w:spacing w:line="120" w:lineRule="auto"/>
              <w:jc w:val="left"/>
              <w:rPr>
                <w:rFonts w:hint="eastAsia" w:ascii="黑体" w:hAnsi="黑体" w:eastAsia="黑体" w:cs="黑体"/>
                <w:b/>
                <w:bCs/>
                <w:sz w:val="24"/>
                <w:szCs w:val="24"/>
                <w:lang w:val="en-US" w:eastAsia="zh-CN"/>
              </w:rPr>
            </w:pPr>
          </w:p>
          <w:p>
            <w:pPr>
              <w:spacing w:line="120" w:lineRule="auto"/>
              <w:ind w:firstLine="2741" w:firstLineChars="1300"/>
              <w:jc w:val="both"/>
              <w:rPr>
                <w:rFonts w:hint="eastAsia" w:ascii="黑体" w:hAnsi="黑体" w:eastAsia="黑体" w:cs="黑体"/>
                <w:b/>
                <w:bCs w:val="0"/>
                <w:sz w:val="21"/>
                <w:szCs w:val="21"/>
                <w:u w:val="none"/>
                <w:lang w:val="en-US" w:eastAsia="zh-CN"/>
              </w:rPr>
            </w:pPr>
          </w:p>
          <w:p>
            <w:pPr>
              <w:spacing w:line="120" w:lineRule="auto"/>
              <w:ind w:firstLine="1687" w:firstLineChars="800"/>
              <w:jc w:val="both"/>
              <w:rPr>
                <w:rFonts w:hint="eastAsia" w:ascii="黑体" w:hAnsi="黑体" w:eastAsia="黑体" w:cs="黑体"/>
                <w:b/>
                <w:bCs w:val="0"/>
                <w:sz w:val="21"/>
                <w:szCs w:val="21"/>
                <w:u w:val="none"/>
                <w:lang w:val="en-US" w:eastAsia="zh-CN"/>
              </w:rPr>
            </w:pPr>
          </w:p>
          <w:p>
            <w:pPr>
              <w:numPr>
                <w:ilvl w:val="0"/>
                <w:numId w:val="0"/>
              </w:numPr>
              <w:spacing w:line="120" w:lineRule="auto"/>
              <w:ind w:left="420" w:leftChars="0"/>
              <w:jc w:val="both"/>
              <w:rPr>
                <w:rFonts w:hint="eastAsia" w:ascii="黑体" w:hAnsi="黑体" w:eastAsia="黑体" w:cs="黑体"/>
                <w:b/>
                <w:bCs w:val="0"/>
                <w:sz w:val="21"/>
                <w:szCs w:val="21"/>
                <w:u w:val="none"/>
                <w:lang w:val="en-US" w:eastAsia="zh-CN"/>
              </w:rPr>
            </w:pPr>
          </w:p>
          <w:p>
            <w:pPr>
              <w:numPr>
                <w:ilvl w:val="0"/>
                <w:numId w:val="0"/>
              </w:numPr>
              <w:spacing w:line="120" w:lineRule="auto"/>
              <w:ind w:left="420" w:leftChars="0"/>
              <w:jc w:val="both"/>
              <w:rPr>
                <w:rFonts w:hint="eastAsia" w:ascii="黑体" w:hAnsi="黑体" w:eastAsia="黑体" w:cs="黑体"/>
                <w:b/>
                <w:bCs w:val="0"/>
                <w:sz w:val="21"/>
                <w:szCs w:val="21"/>
                <w:u w:val="none"/>
                <w:lang w:val="en-US" w:eastAsia="zh-CN"/>
              </w:rPr>
            </w:pPr>
          </w:p>
          <w:p>
            <w:pPr>
              <w:numPr>
                <w:numId w:val="0"/>
              </w:numPr>
              <w:spacing w:line="120" w:lineRule="auto"/>
              <w:ind w:left="420" w:leftChars="0"/>
              <w:jc w:val="both"/>
              <w:rPr>
                <w:rFonts w:hint="eastAsia" w:ascii="黑体" w:hAnsi="黑体" w:eastAsia="黑体" w:cs="黑体"/>
                <w:b/>
                <w:bCs w:val="0"/>
                <w:sz w:val="24"/>
                <w:szCs w:val="24"/>
                <w:u w:val="none"/>
                <w:lang w:val="en-US" w:eastAsia="zh-CN"/>
              </w:rPr>
            </w:pPr>
            <w:r>
              <w:rPr>
                <w:rFonts w:hint="eastAsia" w:ascii="黑体" w:hAnsi="黑体" w:eastAsia="黑体" w:cs="黑体"/>
                <w:b/>
                <w:bCs w:val="0"/>
                <w:sz w:val="24"/>
                <w:szCs w:val="24"/>
                <w:u w:val="none"/>
                <w:lang w:val="en-US" w:eastAsia="zh-CN"/>
              </w:rPr>
              <w:t>签字(盖章)：</w:t>
            </w:r>
          </w:p>
          <w:p>
            <w:pPr>
              <w:numPr>
                <w:ilvl w:val="0"/>
                <w:numId w:val="0"/>
              </w:numPr>
              <w:spacing w:line="120" w:lineRule="auto"/>
              <w:ind w:left="420" w:leftChars="0"/>
              <w:jc w:val="both"/>
              <w:rPr>
                <w:rFonts w:hint="default" w:ascii="黑体" w:hAnsi="黑体" w:eastAsia="黑体" w:cs="黑体"/>
                <w:b/>
                <w:bCs w:val="0"/>
                <w:sz w:val="21"/>
                <w:szCs w:val="21"/>
                <w:u w:val="none"/>
                <w:lang w:val="en-US" w:eastAsia="zh-CN"/>
              </w:rPr>
            </w:pPr>
          </w:p>
        </w:tc>
      </w:tr>
    </w:tbl>
    <w:p>
      <w:pPr>
        <w:numPr>
          <w:ilvl w:val="0"/>
          <w:numId w:val="0"/>
        </w:numPr>
        <w:spacing w:line="120" w:lineRule="auto"/>
        <w:ind w:firstLine="3584" w:firstLineChars="1700"/>
        <w:jc w:val="left"/>
        <w:rPr>
          <w:rFonts w:hint="eastAsia" w:ascii="黑体" w:hAnsi="黑体" w:eastAsia="黑体" w:cs="黑体"/>
          <w:b/>
          <w:bCs w:val="0"/>
          <w:sz w:val="21"/>
          <w:szCs w:val="21"/>
          <w:u w:val="none"/>
          <w:lang w:val="en-US" w:eastAsia="zh-CN"/>
        </w:rPr>
      </w:pPr>
    </w:p>
    <w:p>
      <w:pPr>
        <w:numPr>
          <w:ilvl w:val="0"/>
          <w:numId w:val="0"/>
        </w:numPr>
        <w:spacing w:line="120" w:lineRule="auto"/>
        <w:ind w:firstLine="3584" w:firstLineChars="1700"/>
        <w:jc w:val="left"/>
        <w:rPr>
          <w:rFonts w:hint="eastAsia" w:ascii="黑体" w:hAnsi="黑体" w:eastAsia="黑体" w:cs="黑体"/>
          <w:b/>
          <w:bCs w:val="0"/>
          <w:sz w:val="21"/>
          <w:szCs w:val="21"/>
          <w:u w:val="none"/>
          <w:lang w:val="en-US" w:eastAsia="zh-CN"/>
        </w:rPr>
      </w:pPr>
    </w:p>
    <w:p>
      <w:pPr>
        <w:numPr>
          <w:ilvl w:val="0"/>
          <w:numId w:val="0"/>
        </w:numPr>
        <w:spacing w:line="120" w:lineRule="auto"/>
        <w:ind w:firstLine="3584" w:firstLineChars="1700"/>
        <w:jc w:val="left"/>
        <w:rPr>
          <w:rFonts w:hint="eastAsia" w:ascii="黑体" w:hAnsi="黑体" w:eastAsia="黑体" w:cs="黑体"/>
          <w:b/>
          <w:bCs w:val="0"/>
          <w:sz w:val="21"/>
          <w:szCs w:val="21"/>
          <w:u w:val="none"/>
          <w:lang w:val="en-US" w:eastAsia="zh-CN"/>
        </w:rPr>
      </w:pPr>
    </w:p>
    <w:p>
      <w:pPr>
        <w:numPr>
          <w:ilvl w:val="0"/>
          <w:numId w:val="0"/>
        </w:numPr>
        <w:spacing w:line="120" w:lineRule="auto"/>
        <w:ind w:firstLine="3584" w:firstLineChars="1700"/>
        <w:jc w:val="left"/>
        <w:rPr>
          <w:rFonts w:hint="eastAsia" w:ascii="黑体" w:hAnsi="黑体" w:eastAsia="黑体" w:cs="黑体"/>
          <w:b/>
          <w:bCs w:val="0"/>
          <w:sz w:val="21"/>
          <w:szCs w:val="21"/>
          <w:u w:val="none"/>
          <w:lang w:val="en-US" w:eastAsia="zh-CN"/>
        </w:rPr>
      </w:pPr>
    </w:p>
    <w:p>
      <w:pPr>
        <w:numPr>
          <w:ilvl w:val="0"/>
          <w:numId w:val="0"/>
        </w:numPr>
        <w:spacing w:line="120" w:lineRule="auto"/>
        <w:ind w:firstLine="3584" w:firstLineChars="1700"/>
        <w:jc w:val="left"/>
        <w:rPr>
          <w:rFonts w:hint="eastAsia" w:ascii="黑体" w:hAnsi="黑体" w:eastAsia="黑体" w:cs="黑体"/>
          <w:b/>
          <w:bCs w:val="0"/>
          <w:sz w:val="21"/>
          <w:szCs w:val="21"/>
          <w:u w:val="none"/>
          <w:lang w:val="en-US" w:eastAsia="zh-CN"/>
        </w:rPr>
      </w:pPr>
    </w:p>
    <w:p>
      <w:pPr>
        <w:numPr>
          <w:ilvl w:val="0"/>
          <w:numId w:val="0"/>
        </w:numPr>
        <w:spacing w:line="120" w:lineRule="auto"/>
        <w:ind w:firstLine="3584" w:firstLineChars="1700"/>
        <w:jc w:val="left"/>
        <w:rPr>
          <w:rFonts w:hint="eastAsia" w:ascii="黑体" w:hAnsi="黑体" w:eastAsia="黑体" w:cs="黑体"/>
          <w:b/>
          <w:bCs w:val="0"/>
          <w:sz w:val="21"/>
          <w:szCs w:val="21"/>
          <w:u w:val="none"/>
          <w:lang w:val="en-US" w:eastAsia="zh-CN"/>
        </w:rPr>
      </w:pPr>
    </w:p>
    <w:p>
      <w:pPr>
        <w:numPr>
          <w:ilvl w:val="0"/>
          <w:numId w:val="0"/>
        </w:numPr>
        <w:spacing w:line="120" w:lineRule="auto"/>
        <w:ind w:firstLine="5301" w:firstLineChars="2200"/>
        <w:jc w:val="left"/>
        <w:rPr>
          <w:rFonts w:hint="eastAsia" w:asciiTheme="majorEastAsia" w:hAnsiTheme="majorEastAsia" w:eastAsiaTheme="majorEastAsia" w:cstheme="majorEastAsia"/>
          <w:b/>
          <w:bCs/>
          <w:sz w:val="24"/>
          <w:szCs w:val="24"/>
          <w:lang w:val="en-US" w:eastAsia="zh-CN"/>
        </w:rPr>
      </w:pPr>
      <w:r>
        <w:rPr>
          <w:rFonts w:hint="eastAsia" w:ascii="黑体" w:hAnsi="黑体" w:eastAsia="黑体" w:cs="黑体"/>
          <w:b/>
          <w:bCs w:val="0"/>
          <w:sz w:val="24"/>
          <w:szCs w:val="24"/>
          <w:u w:val="none"/>
          <w:lang w:val="en-US" w:eastAsia="zh-CN"/>
        </w:rPr>
        <w:t>竞买人(盖章)：</w:t>
      </w:r>
      <w:r>
        <w:rPr>
          <w:rFonts w:hint="eastAsia" w:asciiTheme="majorEastAsia" w:hAnsiTheme="majorEastAsia" w:eastAsiaTheme="majorEastAsia" w:cstheme="majorEastAsia"/>
          <w:b/>
          <w:bCs/>
          <w:sz w:val="24"/>
          <w:szCs w:val="24"/>
          <w:lang w:val="en-US" w:eastAsia="zh-CN"/>
        </w:rPr>
        <w:t xml:space="preserve"> </w:t>
      </w:r>
    </w:p>
    <w:p>
      <w:pPr>
        <w:numPr>
          <w:ilvl w:val="0"/>
          <w:numId w:val="0"/>
        </w:numPr>
        <w:spacing w:line="120" w:lineRule="auto"/>
        <w:ind w:firstLine="5301" w:firstLineChars="2200"/>
        <w:jc w:val="left"/>
        <w:rPr>
          <w:rFonts w:hint="default" w:asciiTheme="majorEastAsia" w:hAnsiTheme="majorEastAsia" w:eastAsiaTheme="majorEastAsia" w:cstheme="majorEastAsia"/>
          <w:b/>
          <w:bCs/>
          <w:sz w:val="24"/>
          <w:szCs w:val="24"/>
          <w:lang w:val="en-US" w:eastAsia="zh-CN"/>
        </w:rPr>
      </w:pPr>
      <w:r>
        <w:rPr>
          <w:rFonts w:hint="eastAsia" w:ascii="黑体" w:hAnsi="黑体" w:eastAsia="黑体" w:cs="黑体"/>
          <w:b/>
          <w:bCs w:val="0"/>
          <w:sz w:val="24"/>
          <w:szCs w:val="24"/>
          <w:u w:val="none"/>
          <w:lang w:val="en-US" w:eastAsia="zh-CN"/>
        </w:rPr>
        <w:t>联系电话：</w:t>
      </w:r>
    </w:p>
    <w:p>
      <w:pPr>
        <w:numPr>
          <w:ilvl w:val="0"/>
          <w:numId w:val="0"/>
        </w:numPr>
        <w:spacing w:line="120" w:lineRule="auto"/>
        <w:jc w:val="left"/>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 xml:space="preserve">                  </w:t>
      </w:r>
      <w:r>
        <w:rPr>
          <w:rFonts w:hint="eastAsia" w:asciiTheme="majorEastAsia" w:hAnsiTheme="majorEastAsia" w:eastAsiaTheme="majorEastAsia" w:cstheme="majorEastAsia"/>
          <w:bCs/>
          <w:sz w:val="24"/>
          <w:szCs w:val="24"/>
          <w:lang w:val="en-US" w:eastAsia="zh-CN"/>
        </w:rPr>
        <w:t xml:space="preserve">                          年   月   日</w:t>
      </w:r>
    </w:p>
    <w:p>
      <w:pPr>
        <w:numPr>
          <w:ilvl w:val="0"/>
          <w:numId w:val="0"/>
        </w:numPr>
        <w:spacing w:line="120" w:lineRule="auto"/>
        <w:jc w:val="left"/>
        <w:rPr>
          <w:rFonts w:hint="eastAsia" w:asciiTheme="majorEastAsia" w:hAnsiTheme="majorEastAsia" w:eastAsiaTheme="majorEastAsia" w:cstheme="majorEastAsia"/>
          <w:bCs/>
          <w:sz w:val="24"/>
          <w:szCs w:val="24"/>
          <w:lang w:val="en-US" w:eastAsia="zh-CN"/>
        </w:rPr>
      </w:pPr>
    </w:p>
    <w:p>
      <w:pPr>
        <w:numPr>
          <w:ilvl w:val="0"/>
          <w:numId w:val="0"/>
        </w:numPr>
        <w:spacing w:line="120" w:lineRule="auto"/>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菏泽市兴菏国有产权交易有限责任公司</w:t>
      </w:r>
    </w:p>
    <w:p>
      <w:pPr>
        <w:numPr>
          <w:ilvl w:val="0"/>
          <w:numId w:val="0"/>
        </w:numPr>
        <w:spacing w:line="120" w:lineRule="auto"/>
        <w:ind w:firstLine="5040" w:firstLineChars="2100"/>
        <w:jc w:val="left"/>
        <w:rPr>
          <w:rFonts w:hint="default"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山东翰光拍卖有限公司</w:t>
      </w:r>
    </w:p>
    <w:p>
      <w:pPr>
        <w:spacing w:line="120" w:lineRule="auto"/>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 xml:space="preserve">                                         </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 xml:space="preserve">  20</w:t>
      </w:r>
      <w:r>
        <w:rPr>
          <w:rFonts w:hint="eastAsia" w:asciiTheme="majorEastAsia" w:hAnsiTheme="majorEastAsia" w:eastAsiaTheme="majorEastAsia" w:cstheme="majorEastAsia"/>
          <w:bCs/>
          <w:sz w:val="24"/>
          <w:szCs w:val="24"/>
          <w:lang w:val="en-US" w:eastAsia="zh-CN"/>
        </w:rPr>
        <w:t>2</w:t>
      </w:r>
      <w:bookmarkStart w:id="1" w:name="_GoBack"/>
      <w:bookmarkEnd w:id="1"/>
      <w:r>
        <w:rPr>
          <w:rFonts w:hint="eastAsia" w:asciiTheme="majorEastAsia" w:hAnsiTheme="majorEastAsia" w:eastAsiaTheme="majorEastAsia" w:cstheme="majorEastAsia"/>
          <w:bCs/>
          <w:sz w:val="24"/>
          <w:szCs w:val="24"/>
          <w:lang w:val="en-US" w:eastAsia="zh-CN"/>
        </w:rPr>
        <w:t>0</w:t>
      </w:r>
      <w:r>
        <w:rPr>
          <w:rFonts w:hint="eastAsia" w:asciiTheme="majorEastAsia" w:hAnsiTheme="majorEastAsia" w:eastAsiaTheme="majorEastAsia" w:cstheme="majorEastAsia"/>
          <w:bCs/>
          <w:sz w:val="24"/>
          <w:szCs w:val="24"/>
        </w:rPr>
        <w:t>年</w:t>
      </w:r>
      <w:r>
        <w:rPr>
          <w:rFonts w:hint="eastAsia" w:asciiTheme="majorEastAsia" w:hAnsiTheme="majorEastAsia" w:eastAsiaTheme="majorEastAsia" w:cstheme="majorEastAsia"/>
          <w:bCs/>
          <w:sz w:val="24"/>
          <w:szCs w:val="24"/>
          <w:lang w:val="en-US" w:eastAsia="zh-CN"/>
        </w:rPr>
        <w:t>01</w:t>
      </w:r>
      <w:r>
        <w:rPr>
          <w:rFonts w:hint="eastAsia" w:asciiTheme="majorEastAsia" w:hAnsiTheme="majorEastAsia" w:eastAsiaTheme="majorEastAsia" w:cstheme="majorEastAsia"/>
          <w:bCs/>
          <w:sz w:val="24"/>
          <w:szCs w:val="24"/>
        </w:rPr>
        <w:t>月</w:t>
      </w:r>
      <w:r>
        <w:rPr>
          <w:rFonts w:hint="eastAsia" w:asciiTheme="majorEastAsia" w:hAnsiTheme="majorEastAsia" w:eastAsiaTheme="majorEastAsia" w:cstheme="majorEastAsia"/>
          <w:bCs/>
          <w:sz w:val="24"/>
          <w:szCs w:val="24"/>
          <w:lang w:val="en-US" w:eastAsia="zh-CN"/>
        </w:rPr>
        <w:t>19</w:t>
      </w:r>
      <w:r>
        <w:rPr>
          <w:rFonts w:hint="eastAsia" w:asciiTheme="majorEastAsia" w:hAnsiTheme="majorEastAsia" w:eastAsiaTheme="majorEastAsia" w:cstheme="majorEastAsia"/>
          <w:bCs/>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03EE59"/>
    <w:multiLevelType w:val="singleLevel"/>
    <w:tmpl w:val="FA03EE5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1"/>
    <w:rsid w:val="00016C74"/>
    <w:rsid w:val="00026B51"/>
    <w:rsid w:val="00083295"/>
    <w:rsid w:val="0008759D"/>
    <w:rsid w:val="0010378C"/>
    <w:rsid w:val="001609E1"/>
    <w:rsid w:val="00162331"/>
    <w:rsid w:val="00175D2C"/>
    <w:rsid w:val="001801E4"/>
    <w:rsid w:val="001823AA"/>
    <w:rsid w:val="001A0CF2"/>
    <w:rsid w:val="00245F72"/>
    <w:rsid w:val="002508F9"/>
    <w:rsid w:val="00266A71"/>
    <w:rsid w:val="00293179"/>
    <w:rsid w:val="002A1782"/>
    <w:rsid w:val="00336FD2"/>
    <w:rsid w:val="00342CF9"/>
    <w:rsid w:val="00355D18"/>
    <w:rsid w:val="003743DA"/>
    <w:rsid w:val="00382880"/>
    <w:rsid w:val="00384D92"/>
    <w:rsid w:val="003F2FBA"/>
    <w:rsid w:val="00422A14"/>
    <w:rsid w:val="00423048"/>
    <w:rsid w:val="00447594"/>
    <w:rsid w:val="004A18D9"/>
    <w:rsid w:val="004D7D67"/>
    <w:rsid w:val="004F5560"/>
    <w:rsid w:val="00511693"/>
    <w:rsid w:val="00567DCE"/>
    <w:rsid w:val="005D6A72"/>
    <w:rsid w:val="005D7D6C"/>
    <w:rsid w:val="005F5EDA"/>
    <w:rsid w:val="0061768D"/>
    <w:rsid w:val="00624719"/>
    <w:rsid w:val="0070700D"/>
    <w:rsid w:val="0071228D"/>
    <w:rsid w:val="007153D2"/>
    <w:rsid w:val="007308E8"/>
    <w:rsid w:val="00776875"/>
    <w:rsid w:val="00786745"/>
    <w:rsid w:val="007C0117"/>
    <w:rsid w:val="007D32D7"/>
    <w:rsid w:val="008208AD"/>
    <w:rsid w:val="008541FB"/>
    <w:rsid w:val="008635EA"/>
    <w:rsid w:val="008B37A2"/>
    <w:rsid w:val="0092088F"/>
    <w:rsid w:val="0094291A"/>
    <w:rsid w:val="00952988"/>
    <w:rsid w:val="009D6296"/>
    <w:rsid w:val="009F44D4"/>
    <w:rsid w:val="00A20D57"/>
    <w:rsid w:val="00A353A7"/>
    <w:rsid w:val="00A425AD"/>
    <w:rsid w:val="00A56847"/>
    <w:rsid w:val="00A9254D"/>
    <w:rsid w:val="00AD0962"/>
    <w:rsid w:val="00B37A2A"/>
    <w:rsid w:val="00B818B7"/>
    <w:rsid w:val="00B96FF8"/>
    <w:rsid w:val="00BC0693"/>
    <w:rsid w:val="00C0251B"/>
    <w:rsid w:val="00C279C1"/>
    <w:rsid w:val="00C65509"/>
    <w:rsid w:val="00CA2C31"/>
    <w:rsid w:val="00CC0E6E"/>
    <w:rsid w:val="00D20541"/>
    <w:rsid w:val="00D25221"/>
    <w:rsid w:val="00D60815"/>
    <w:rsid w:val="00D609E1"/>
    <w:rsid w:val="00D86A12"/>
    <w:rsid w:val="00D90359"/>
    <w:rsid w:val="00DE04DF"/>
    <w:rsid w:val="00E83A25"/>
    <w:rsid w:val="00E96D3A"/>
    <w:rsid w:val="00EB3E82"/>
    <w:rsid w:val="00EC4013"/>
    <w:rsid w:val="00EC7832"/>
    <w:rsid w:val="00EE4A40"/>
    <w:rsid w:val="00F13848"/>
    <w:rsid w:val="00F22003"/>
    <w:rsid w:val="00F40800"/>
    <w:rsid w:val="00F55E69"/>
    <w:rsid w:val="00F66A9E"/>
    <w:rsid w:val="00F7593F"/>
    <w:rsid w:val="00FB2152"/>
    <w:rsid w:val="00FC42FC"/>
    <w:rsid w:val="00FD6A17"/>
    <w:rsid w:val="017A7DF9"/>
    <w:rsid w:val="01D4134A"/>
    <w:rsid w:val="02B1711F"/>
    <w:rsid w:val="03E43C4C"/>
    <w:rsid w:val="053406AC"/>
    <w:rsid w:val="0AA81D7F"/>
    <w:rsid w:val="0BA02885"/>
    <w:rsid w:val="0BAA35DF"/>
    <w:rsid w:val="10BA595F"/>
    <w:rsid w:val="13301037"/>
    <w:rsid w:val="14786A57"/>
    <w:rsid w:val="1B4118EF"/>
    <w:rsid w:val="1CCE6810"/>
    <w:rsid w:val="20D469C1"/>
    <w:rsid w:val="221B4FF0"/>
    <w:rsid w:val="26D04225"/>
    <w:rsid w:val="28185BF1"/>
    <w:rsid w:val="29C014FD"/>
    <w:rsid w:val="29D2565A"/>
    <w:rsid w:val="2A89345F"/>
    <w:rsid w:val="2C8D79AC"/>
    <w:rsid w:val="305C5273"/>
    <w:rsid w:val="32761BEE"/>
    <w:rsid w:val="33BB251F"/>
    <w:rsid w:val="3479066A"/>
    <w:rsid w:val="36CB2C0D"/>
    <w:rsid w:val="3B9D2ACF"/>
    <w:rsid w:val="3BD03218"/>
    <w:rsid w:val="416178F3"/>
    <w:rsid w:val="449059C6"/>
    <w:rsid w:val="48432152"/>
    <w:rsid w:val="497D4BD5"/>
    <w:rsid w:val="4C73512E"/>
    <w:rsid w:val="4D6328A1"/>
    <w:rsid w:val="4D7D5241"/>
    <w:rsid w:val="54A43D36"/>
    <w:rsid w:val="558F1206"/>
    <w:rsid w:val="599E68A8"/>
    <w:rsid w:val="5B2E1C98"/>
    <w:rsid w:val="5B6A6B68"/>
    <w:rsid w:val="5C4D7B47"/>
    <w:rsid w:val="5D3D3457"/>
    <w:rsid w:val="5FBE4DE7"/>
    <w:rsid w:val="60F65B17"/>
    <w:rsid w:val="62AB5323"/>
    <w:rsid w:val="63006C86"/>
    <w:rsid w:val="64B05F49"/>
    <w:rsid w:val="680E4BEE"/>
    <w:rsid w:val="69D459D9"/>
    <w:rsid w:val="6AB70842"/>
    <w:rsid w:val="6CDB3340"/>
    <w:rsid w:val="6E26507D"/>
    <w:rsid w:val="6F185668"/>
    <w:rsid w:val="71572C45"/>
    <w:rsid w:val="71EA7A4F"/>
    <w:rsid w:val="72C402A5"/>
    <w:rsid w:val="754D4C50"/>
    <w:rsid w:val="75940FF1"/>
    <w:rsid w:val="7A1A6913"/>
    <w:rsid w:val="7A995FC4"/>
    <w:rsid w:val="7BB74769"/>
    <w:rsid w:val="7BF97AC9"/>
    <w:rsid w:val="7CC67F55"/>
    <w:rsid w:val="7DE0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ind w:firstLine="538" w:firstLineChars="192"/>
    </w:pPr>
    <w:rPr>
      <w:rFonts w:ascii="宋体" w:hAnsi="宋体"/>
      <w:sz w:val="28"/>
      <w:szCs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99"/>
    <w:pPr>
      <w:spacing w:beforeAutospacing="1" w:afterAutospacing="1"/>
      <w:jc w:val="left"/>
    </w:pPr>
    <w:rPr>
      <w:rFonts w:cs="Times New Roman"/>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列出段落1"/>
    <w:basedOn w:val="1"/>
    <w:qFormat/>
    <w:uiPriority w:val="34"/>
    <w:pPr>
      <w:ind w:firstLine="420" w:firstLineChars="200"/>
    </w:pPr>
  </w:style>
  <w:style w:type="character" w:customStyle="1" w:styleId="11">
    <w:name w:val="页眉 字符"/>
    <w:basedOn w:val="9"/>
    <w:link w:val="4"/>
    <w:qFormat/>
    <w:uiPriority w:val="99"/>
    <w:rPr>
      <w:rFonts w:asciiTheme="minorHAnsi" w:hAnsiTheme="minorHAnsi" w:eastAsiaTheme="minorEastAsia" w:cstheme="minorBidi"/>
      <w:kern w:val="2"/>
      <w:sz w:val="18"/>
      <w:szCs w:val="18"/>
    </w:rPr>
  </w:style>
  <w:style w:type="character" w:customStyle="1" w:styleId="12">
    <w:name w:val="页脚 字符"/>
    <w:basedOn w:val="9"/>
    <w:link w:val="3"/>
    <w:qFormat/>
    <w:uiPriority w:val="99"/>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323</Words>
  <Characters>1842</Characters>
  <Lines>15</Lines>
  <Paragraphs>4</Paragraphs>
  <TotalTime>3</TotalTime>
  <ScaleCrop>false</ScaleCrop>
  <LinksUpToDate>false</LinksUpToDate>
  <CharactersWithSpaces>2161</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2017-11-24T03:43:00Z</dcterms:created>
  <dc:creator>Windows 用户</dc:creator>
  <cp:lastModifiedBy>Administrator</cp:lastModifiedBy>
  <cp:lastPrinted>2019-10-09T05:36:00Z</cp:lastPrinted>
  <dcterms:modified xsi:type="dcterms:W3CDTF">2020-01-19T03:46:27Z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