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uto"/>
        <w:jc w:val="center"/>
        <w:rPr>
          <w:rFonts w:hint="eastAsia" w:ascii="宋体" w:hAnsi="宋体" w:eastAsia="宋体" w:cs="宋体"/>
          <w:b/>
          <w:bCs w:val="0"/>
          <w:sz w:val="44"/>
          <w:szCs w:val="44"/>
          <w:lang w:val="en-US" w:eastAsia="zh-CN"/>
        </w:rPr>
      </w:pPr>
      <w:bookmarkStart w:id="0" w:name="_Hlk5713794"/>
      <w:bookmarkStart w:id="1" w:name="_Hlk5713967"/>
      <w:r>
        <w:rPr>
          <w:rFonts w:hint="eastAsia" w:ascii="宋体" w:hAnsi="宋体" w:eastAsia="宋体" w:cs="宋体"/>
          <w:b/>
          <w:bCs w:val="0"/>
          <w:sz w:val="44"/>
          <w:szCs w:val="44"/>
          <w:lang w:val="en-US" w:eastAsia="zh-CN"/>
        </w:rPr>
        <w:t>拍卖规则</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一、本规则根据《中华人民共和国拍卖法》及相关法律、法规，并遵循“公开、公平、公正、诚实信用”及价高者得的原则制定。</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二、竞买人入场后应当遵守场内公共秩序，不得阻挠其他竞买人叫价竞买，不得阻碍拍卖人进行正常的拍卖工作，更不能有操纵、垄断等违法行为，一经发现，将取消其竞买资格，并追究其法律责任。</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三、拍卖标的物：原成武县宏达纸业有限责任公司、山东丰利达纸业有限公司机器设备、库存材料一宗及建筑物残值，详见《资产评估报告书》鲁中慧评字[2019]第141号、鲁中慧评字[2020]第12号，标的物以现场实物为准。底价：22510000.00元。</w:t>
      </w:r>
    </w:p>
    <w:p>
      <w:pPr>
        <w:pStyle w:val="4"/>
        <w:widowControl/>
        <w:spacing w:beforeAutospacing="0" w:afterAutospacing="0" w:line="120" w:lineRule="auto"/>
        <w:ind w:firstLine="482" w:firstLineChars="200"/>
        <w:rPr>
          <w:rFonts w:hint="eastAsia" w:ascii="黑体" w:hAnsi="黑体" w:eastAsia="黑体" w:cs="黑体"/>
          <w:b/>
          <w:bCs w:val="0"/>
          <w:kern w:val="2"/>
          <w:sz w:val="24"/>
          <w:szCs w:val="24"/>
          <w:lang w:val="en-US" w:eastAsia="zh-CN" w:bidi="ar-SA"/>
        </w:rPr>
      </w:pPr>
      <w:r>
        <w:rPr>
          <w:rFonts w:hint="eastAsia" w:ascii="黑体" w:hAnsi="黑体" w:eastAsia="黑体" w:cs="黑体"/>
          <w:b/>
          <w:bCs w:val="0"/>
          <w:kern w:val="2"/>
          <w:sz w:val="24"/>
          <w:szCs w:val="24"/>
          <w:lang w:val="en-US" w:eastAsia="zh-CN" w:bidi="ar-SA"/>
        </w:rPr>
        <w:t>四、竞买人必须按照规定填写《预报名竞价单》,竞买人所报价格必须高于底价，报价最高的竞买人所报价格作为起拍价。如果无人加价，则根据《预报名竞价单》的最高报价成交。</w:t>
      </w:r>
    </w:p>
    <w:p>
      <w:pPr>
        <w:pStyle w:val="4"/>
        <w:widowControl/>
        <w:spacing w:beforeAutospacing="0" w:afterAutospacing="0" w:line="120" w:lineRule="auto"/>
        <w:ind w:firstLine="482" w:firstLineChars="200"/>
        <w:rPr>
          <w:rFonts w:hint="default" w:ascii="黑体" w:hAnsi="黑体" w:eastAsia="黑体" w:cs="黑体"/>
          <w:b/>
          <w:bCs w:val="0"/>
          <w:kern w:val="2"/>
          <w:sz w:val="24"/>
          <w:szCs w:val="24"/>
          <w:lang w:val="en-US" w:eastAsia="zh-CN" w:bidi="ar-SA"/>
        </w:rPr>
      </w:pPr>
      <w:r>
        <w:rPr>
          <w:rFonts w:hint="eastAsia" w:ascii="黑体" w:hAnsi="黑体" w:eastAsia="黑体" w:cs="黑体"/>
          <w:b/>
          <w:bCs w:val="0"/>
          <w:kern w:val="2"/>
          <w:sz w:val="24"/>
          <w:szCs w:val="24"/>
          <w:lang w:val="en-US" w:eastAsia="zh-CN" w:bidi="ar-SA"/>
        </w:rPr>
        <w:t>五、竞买成功，买受人所交纳的竞买保证金中500万元转为成交价款尾款，100万元转为施工保证金；竞买不成功的，竞买保证金将于拍卖会后5个工作日内无息退还。</w:t>
      </w:r>
    </w:p>
    <w:p>
      <w:pPr>
        <w:spacing w:line="120" w:lineRule="auto"/>
        <w:ind w:firstLine="482" w:firstLineChars="200"/>
        <w:rPr>
          <w:rFonts w:hint="eastAsia" w:ascii="宋体" w:hAnsi="宋体" w:eastAsia="宋体" w:cs="宋体"/>
          <w:bCs/>
          <w:sz w:val="24"/>
          <w:szCs w:val="24"/>
          <w:lang w:val="en-US" w:eastAsia="zh-CN"/>
        </w:rPr>
      </w:pPr>
      <w:r>
        <w:rPr>
          <w:rFonts w:hint="eastAsia" w:ascii="黑体" w:hAnsi="黑体" w:eastAsia="黑体" w:cs="黑体"/>
          <w:b/>
          <w:bCs w:val="0"/>
          <w:kern w:val="2"/>
          <w:sz w:val="24"/>
          <w:szCs w:val="24"/>
          <w:lang w:val="en-US" w:eastAsia="zh-CN" w:bidi="ar-SA"/>
        </w:rPr>
        <w:t>六、拍卖成交后，买受人应当场签署《成交确认书》，并于2020年3月20日下午15时前交清成交价款及佣金至菏泽市兴菏国有产权交易有限责任公司资金结算账户，并与委托人签订《产权交易合同》，否则视为违约。</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七、买受人有下列行为之一的，视为违约：</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1、买受人提供虚假失实材料的；</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2、买受人串通或干扰公平竞争扰乱正常拍卖秩序的；</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3、买受人逾期或拒绝签订《成交确认书》、《拍卖笔录》及其他拍卖相关文件的；</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4、买受人逾期或拒绝按照本拍卖规则规定的付款期限支付成交价款和佣金的。</w:t>
      </w:r>
    </w:p>
    <w:p>
      <w:pPr>
        <w:pStyle w:val="4"/>
        <w:widowControl/>
        <w:spacing w:beforeAutospacing="0" w:afterAutospacing="0" w:line="120" w:lineRule="auto"/>
        <w:ind w:firstLine="482" w:firstLineChars="200"/>
        <w:rPr>
          <w:rFonts w:hint="default" w:ascii="黑体" w:hAnsi="黑体" w:eastAsia="黑体" w:cs="黑体"/>
          <w:b/>
          <w:bCs w:val="0"/>
          <w:kern w:val="2"/>
          <w:sz w:val="24"/>
          <w:szCs w:val="24"/>
          <w:lang w:val="en-US" w:eastAsia="zh-CN" w:bidi="ar-SA"/>
        </w:rPr>
      </w:pPr>
      <w:r>
        <w:rPr>
          <w:rFonts w:hint="eastAsia" w:ascii="黑体" w:hAnsi="黑体" w:eastAsia="黑体" w:cs="黑体"/>
          <w:b/>
          <w:bCs w:val="0"/>
          <w:kern w:val="2"/>
          <w:sz w:val="24"/>
          <w:szCs w:val="24"/>
          <w:lang w:val="en-US" w:eastAsia="zh-CN" w:bidi="ar-SA"/>
        </w:rPr>
        <w:t>八、如果买受人违约，拍卖人将扣除其竞买保证金，并追究违约责任。根据顺延规则，次高价的竞买人为买受人，次高价的竞买人应于下个工作日交清成交价款及佣金至菏泽市兴菏国有产权交易有限责任公司资金结算账户，并与委托人签订《产权交易合同》，否则同样视为违约，拍卖人将扣除其竞买保证金，并追究违约责任，依次顺延。</w:t>
      </w:r>
    </w:p>
    <w:p>
      <w:pPr>
        <w:numPr>
          <w:ilvl w:val="0"/>
          <w:numId w:val="0"/>
        </w:numPr>
        <w:spacing w:line="120" w:lineRule="auto"/>
        <w:ind w:left="420" w:left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九</w:t>
      </w:r>
      <w:r>
        <w:rPr>
          <w:rFonts w:hint="eastAsia" w:ascii="宋体" w:hAnsi="宋体" w:eastAsia="宋体" w:cs="宋体"/>
          <w:bCs/>
          <w:sz w:val="24"/>
          <w:szCs w:val="24"/>
        </w:rPr>
        <w:t>、</w:t>
      </w:r>
      <w:r>
        <w:rPr>
          <w:rFonts w:hint="eastAsia" w:ascii="宋体" w:hAnsi="宋体" w:eastAsia="宋体" w:cs="宋体"/>
          <w:bCs/>
          <w:sz w:val="24"/>
          <w:szCs w:val="24"/>
          <w:lang w:val="en-US" w:eastAsia="zh-CN"/>
        </w:rPr>
        <w:t>拍卖成交后，买受人按照拍卖成交价款的5%的比例向拍卖人支付佣金。</w:t>
      </w:r>
    </w:p>
    <w:p>
      <w:pPr>
        <w:numPr>
          <w:ilvl w:val="0"/>
          <w:numId w:val="0"/>
        </w:numPr>
        <w:spacing w:line="120" w:lineRule="auto"/>
        <w:ind w:left="420"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十、委托人告知事项：</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1、本次交易标的物内容和范围的界定，解释权归委托人所有。委托人和本公司不对标的表现的数量和质量做任何担保。</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2、竞买成功，买受人凭成交价款缴款收据、《产权交易合同》开始施工，工期3个月，开始施工时间由委托人另行通知，耽误工期每天按10000元扣除其施工保证金。</w:t>
      </w:r>
    </w:p>
    <w:p>
      <w:pPr>
        <w:spacing w:line="120" w:lineRule="auto"/>
        <w:ind w:firstLine="482" w:firstLineChars="200"/>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3、因地方政府要建设博物馆，需保留部分物品作为藏品陈列，鲁中慧评字[2019]第141号《资产评估报告书》中编号为243、328、359、382、440、463、473、555、614（1台）、618（1个）的作为藏品保留，不在本次交易标的物范围内，剩余标的物仍以22510000元作为底价。</w:t>
      </w:r>
    </w:p>
    <w:p>
      <w:pPr>
        <w:spacing w:line="120" w:lineRule="auto"/>
        <w:ind w:firstLine="482" w:firstLineChars="200"/>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4、标的物拆除过程中，如需破坏部分建筑物及路面，买受人必须合理施工，保证建筑物主体框架不能破坏，主干道不能破坏，做到损失最小，如因买受人操作不当给委托方造成损失，由买受人负责。</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5、买受人在施工过程中，需做好安全防护工作，施工人员及其他非施工人员由于施工过程所发生事故由买受人负责，施工过程及运输过程中出现的一切安全事故等与委托人及拍卖人无关。</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6、根据环保局等部门的相关规定，加强拆房扬尘治理，保障城市环境，如因买受人操作不规范造成的后果由买受人自行负责，因环保问题所产生的一切费用由买受人承担。</w:t>
      </w:r>
    </w:p>
    <w:p>
      <w:pPr>
        <w:spacing w:line="120" w:lineRule="auto"/>
        <w:ind w:firstLine="480" w:firstLineChars="200"/>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7、施工保证金在施工完毕后，经委托人验收合格后无息退还。</w:t>
      </w:r>
    </w:p>
    <w:p>
      <w:p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8、合同履行期间，因政府行为或不可抗力因素，造成合同终止，由委托人、买受人协商解决。</w:t>
      </w:r>
    </w:p>
    <w:p>
      <w:pPr>
        <w:numPr>
          <w:ilvl w:val="0"/>
          <w:numId w:val="0"/>
        </w:numPr>
        <w:spacing w:line="120" w:lineRule="auto"/>
        <w:ind w:left="420" w:left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十一、买受人须承诺：</w:t>
      </w:r>
    </w:p>
    <w:p>
      <w:pPr>
        <w:numPr>
          <w:ilvl w:val="0"/>
          <w:numId w:val="0"/>
        </w:numPr>
        <w:spacing w:line="120" w:lineRule="auto"/>
        <w:ind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1、买受人须具有良好的财务状况和支付能力。</w:t>
      </w:r>
    </w:p>
    <w:p>
      <w:pPr>
        <w:numPr>
          <w:ilvl w:val="0"/>
          <w:numId w:val="0"/>
        </w:numPr>
        <w:spacing w:line="12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 w:val="0"/>
          <w:bCs/>
          <w:sz w:val="24"/>
          <w:szCs w:val="24"/>
          <w:lang w:val="en-US" w:eastAsia="zh-CN"/>
        </w:rPr>
        <w:t>2、买受人须承诺，在挂牌公告期间已自行对标的进行了全面了解，一经递交报名</w:t>
      </w:r>
      <w:r>
        <w:rPr>
          <w:rFonts w:hint="eastAsia" w:ascii="宋体" w:hAnsi="宋体" w:eastAsia="宋体" w:cs="宋体"/>
          <w:bCs/>
          <w:sz w:val="24"/>
          <w:szCs w:val="24"/>
          <w:lang w:val="en-US" w:eastAsia="zh-CN"/>
        </w:rPr>
        <w:t>材料并交纳竞买保证金后，即表明理解并接受本次转让标的所有内容及程序，完全了解与认可标的物状况以及存在的瑕疵等一切内容，并自行承担竞买该标的所带来的一切风险和后果，并不得以不了解转让标的为由退还转让标的，否则将视为违约；非因委托方原因所引发的风险因素，由买受人自行承担。</w:t>
      </w:r>
    </w:p>
    <w:p>
      <w:pPr>
        <w:numPr>
          <w:ilvl w:val="0"/>
          <w:numId w:val="0"/>
        </w:numPr>
        <w:spacing w:line="120" w:lineRule="auto"/>
        <w:ind w:firstLine="482" w:firstLineChars="200"/>
        <w:rPr>
          <w:rFonts w:hint="default" w:ascii="宋体" w:hAnsi="宋体" w:eastAsia="宋体" w:cs="宋体"/>
          <w:bCs/>
          <w:sz w:val="24"/>
          <w:szCs w:val="24"/>
          <w:lang w:val="en-US" w:eastAsia="zh-CN"/>
        </w:rPr>
      </w:pPr>
      <w:r>
        <w:rPr>
          <w:rFonts w:hint="eastAsia" w:ascii="黑体" w:hAnsi="黑体" w:eastAsia="黑体" w:cs="黑体"/>
          <w:b/>
          <w:bCs w:val="0"/>
          <w:sz w:val="24"/>
          <w:szCs w:val="24"/>
          <w:lang w:val="en-US" w:eastAsia="zh-CN"/>
        </w:rPr>
        <w:t>十二、顺延规则：若买受人违约，则不视为正式竞买人，其竞买结果无效，竞买保证金不予退还，顺延至次高价的竞买人为买受人。若次高应价的竞买人违约，其竞买结果无效，竞买保证金不予退还，第三高价的竞买人为买受人，依次顺延。拍卖过程中，所有竞买人的报价均具有法律效力，一经应价，不得反悔，否则追究其法律责任，其竞买</w:t>
      </w:r>
      <w:bookmarkStart w:id="2" w:name="_GoBack"/>
      <w:bookmarkEnd w:id="2"/>
      <w:r>
        <w:rPr>
          <w:rFonts w:hint="eastAsia" w:ascii="黑体" w:hAnsi="黑体" w:eastAsia="黑体" w:cs="黑体"/>
          <w:b/>
          <w:bCs w:val="0"/>
          <w:sz w:val="24"/>
          <w:szCs w:val="24"/>
          <w:lang w:val="en-US" w:eastAsia="zh-CN"/>
        </w:rPr>
        <w:t>保证金不予退还。</w:t>
      </w:r>
    </w:p>
    <w:tbl>
      <w:tblPr>
        <w:tblStyle w:val="6"/>
        <w:tblpPr w:leftFromText="180" w:rightFromText="180" w:vertAnchor="text" w:horzAnchor="page" w:tblpX="1642" w:tblpY="105"/>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7" w:hRule="atLeast"/>
        </w:trPr>
        <w:tc>
          <w:tcPr>
            <w:tcW w:w="9300" w:type="dxa"/>
            <w:noWrap w:val="0"/>
            <w:vAlign w:val="top"/>
          </w:tcPr>
          <w:p>
            <w:pPr>
              <w:numPr>
                <w:ilvl w:val="0"/>
                <w:numId w:val="0"/>
              </w:numPr>
              <w:spacing w:line="120" w:lineRule="auto"/>
              <w:ind w:left="420" w:leftChars="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十三、特别声明：</w:t>
            </w:r>
          </w:p>
          <w:p>
            <w:pPr>
              <w:numPr>
                <w:ilvl w:val="0"/>
                <w:numId w:val="0"/>
              </w:num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1、本次拍卖活动所披露的评估报告、审计报告、鉴定意见等资料仅是确定拍卖标的物底价的参考，不是委托人、拍卖人对拍卖标的物品质、质量和数量的保证和承诺，竞买人应当充分预估其中风险并自行承担责任。</w:t>
            </w:r>
          </w:p>
          <w:p>
            <w:pPr>
              <w:numPr>
                <w:ilvl w:val="0"/>
                <w:numId w:val="0"/>
              </w:num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2、委托人和拍卖人不能保证拍卖标的物的真伪、品质和具体数量，不承担瑕疵担保责任。</w:t>
            </w:r>
          </w:p>
          <w:p>
            <w:pPr>
              <w:numPr>
                <w:ilvl w:val="0"/>
                <w:numId w:val="0"/>
              </w:numPr>
              <w:spacing w:line="120" w:lineRule="auto"/>
              <w:ind w:firstLine="482" w:firstLineChars="200"/>
              <w:jc w:val="left"/>
              <w:rPr>
                <w:rFonts w:hint="eastAsia" w:ascii="黑体" w:hAnsi="黑体" w:eastAsia="黑体" w:cs="黑体"/>
                <w:b/>
                <w:bCs w:val="0"/>
                <w:sz w:val="24"/>
                <w:szCs w:val="24"/>
                <w:u w:val="none"/>
                <w:lang w:val="en-US" w:eastAsia="zh-CN"/>
              </w:rPr>
            </w:pPr>
            <w:r>
              <w:rPr>
                <w:rFonts w:hint="eastAsia" w:ascii="黑体" w:hAnsi="黑体" w:eastAsia="黑体" w:cs="黑体"/>
                <w:b/>
                <w:bCs w:val="0"/>
                <w:sz w:val="24"/>
                <w:szCs w:val="24"/>
                <w:lang w:val="en-US" w:eastAsia="zh-CN"/>
              </w:rPr>
              <w:t>3、拍卖标的物在合同成立时，以拍卖合同成立时的现状移交给买受人，相关风险同时转移给买受人。事后双方如办理拍卖标的物移交手续，该相关手续仅是对移交事实的确认。因标的物的特殊性，具有随时被盗、灭失等导致价值贬损的风险，移交时标的物的现状与评估或买受人考察时的状况不一致的，以移交时的现状为准，买受人不得以标的物状况发生变化而主张合同无效或要求委托人和拍卖人补偿。</w:t>
            </w:r>
            <w:r>
              <w:rPr>
                <w:rFonts w:hint="eastAsia" w:ascii="黑体" w:hAnsi="黑体" w:eastAsia="黑体" w:cs="黑体"/>
                <w:b/>
                <w:bCs w:val="0"/>
                <w:sz w:val="24"/>
                <w:szCs w:val="24"/>
                <w:u w:val="none"/>
                <w:lang w:val="en-US" w:eastAsia="zh-CN"/>
              </w:rPr>
              <w:t xml:space="preserve"> </w:t>
            </w:r>
          </w:p>
          <w:p>
            <w:pPr>
              <w:numPr>
                <w:ilvl w:val="0"/>
                <w:numId w:val="0"/>
              </w:numPr>
              <w:spacing w:line="120" w:lineRule="auto"/>
              <w:jc w:val="left"/>
              <w:rPr>
                <w:rFonts w:hint="eastAsia" w:ascii="黑体" w:hAnsi="黑体" w:eastAsia="黑体" w:cs="黑体"/>
                <w:b/>
                <w:bCs w:val="0"/>
                <w:sz w:val="24"/>
                <w:szCs w:val="24"/>
                <w:lang w:val="en-US" w:eastAsia="zh-CN"/>
              </w:rPr>
            </w:pPr>
          </w:p>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您如果同意本规则并参加竞买，请您将下面一段话抄写在下方空白处，然后签字盖章。</w:t>
            </w:r>
          </w:p>
          <w:p>
            <w:pPr>
              <w:numPr>
                <w:ilvl w:val="0"/>
                <w:numId w:val="0"/>
              </w:numPr>
              <w:ind w:firstLine="482" w:firstLineChars="200"/>
              <w:rPr>
                <w:rFonts w:hint="eastAsia" w:ascii="黑体" w:hAnsi="黑体" w:eastAsia="黑体" w:cs="黑体"/>
                <w:b/>
                <w:bCs w:val="0"/>
                <w:i/>
                <w:iCs/>
                <w:sz w:val="24"/>
                <w:szCs w:val="24"/>
                <w:u w:val="none"/>
                <w:lang w:val="en-US" w:eastAsia="zh-CN"/>
              </w:rPr>
            </w:pPr>
            <w:r>
              <w:rPr>
                <w:rFonts w:hint="eastAsia" w:ascii="黑体" w:hAnsi="黑体" w:eastAsia="黑体" w:cs="黑体"/>
                <w:b/>
                <w:bCs w:val="0"/>
                <w:i/>
                <w:iCs/>
                <w:sz w:val="24"/>
                <w:szCs w:val="24"/>
                <w:u w:val="single"/>
                <w:lang w:val="en-US" w:eastAsia="zh-CN"/>
              </w:rPr>
              <w:t>拍卖人已就特别声明的内容向我（单位）作了充分说明，我（单位）充分了解其内容，并自愿承担法律后果。</w:t>
            </w:r>
          </w:p>
          <w:p>
            <w:pPr>
              <w:numPr>
                <w:ilvl w:val="0"/>
                <w:numId w:val="0"/>
              </w:numPr>
              <w:spacing w:line="120" w:lineRule="auto"/>
              <w:jc w:val="left"/>
              <w:rPr>
                <w:rFonts w:hint="eastAsia" w:ascii="宋体" w:hAnsi="宋体" w:eastAsia="宋体" w:cs="宋体"/>
                <w:b/>
                <w:bCs/>
                <w:sz w:val="24"/>
                <w:szCs w:val="24"/>
                <w:lang w:val="en-US" w:eastAsia="zh-CN"/>
              </w:rPr>
            </w:pPr>
          </w:p>
          <w:p>
            <w:pPr>
              <w:spacing w:line="120" w:lineRule="auto"/>
              <w:jc w:val="both"/>
              <w:rPr>
                <w:rFonts w:hint="eastAsia" w:ascii="宋体" w:hAnsi="宋体" w:eastAsia="宋体" w:cs="宋体"/>
                <w:b/>
                <w:bCs w:val="0"/>
                <w:sz w:val="24"/>
                <w:szCs w:val="24"/>
                <w:u w:val="none"/>
                <w:lang w:val="en-US" w:eastAsia="zh-CN"/>
              </w:rPr>
            </w:pPr>
          </w:p>
          <w:p>
            <w:pPr>
              <w:spacing w:line="120" w:lineRule="auto"/>
              <w:jc w:val="both"/>
              <w:rPr>
                <w:rFonts w:hint="eastAsia" w:ascii="宋体" w:hAnsi="宋体" w:eastAsia="宋体" w:cs="宋体"/>
                <w:b/>
                <w:bCs w:val="0"/>
                <w:sz w:val="24"/>
                <w:szCs w:val="24"/>
                <w:u w:val="none"/>
                <w:lang w:val="en-US" w:eastAsia="zh-CN"/>
              </w:rPr>
            </w:pPr>
          </w:p>
          <w:p>
            <w:pPr>
              <w:numPr>
                <w:ilvl w:val="0"/>
                <w:numId w:val="0"/>
              </w:numPr>
              <w:spacing w:line="120" w:lineRule="auto"/>
              <w:ind w:left="420" w:leftChars="0" w:firstLine="4578" w:firstLineChars="1900"/>
              <w:jc w:val="both"/>
              <w:rPr>
                <w:rFonts w:hint="eastAsia" w:ascii="宋体" w:hAnsi="宋体" w:eastAsia="宋体" w:cs="宋体"/>
                <w:b/>
                <w:bCs w:val="0"/>
                <w:sz w:val="24"/>
                <w:szCs w:val="24"/>
                <w:u w:val="none"/>
                <w:lang w:val="en-US" w:eastAsia="zh-CN"/>
              </w:rPr>
            </w:pPr>
            <w:r>
              <w:rPr>
                <w:rFonts w:hint="eastAsia" w:ascii="宋体" w:hAnsi="宋体" w:eastAsia="宋体" w:cs="宋体"/>
                <w:b/>
                <w:bCs w:val="0"/>
                <w:sz w:val="24"/>
                <w:szCs w:val="24"/>
                <w:u w:val="none"/>
                <w:lang w:val="en-US" w:eastAsia="zh-CN"/>
              </w:rPr>
              <w:t>竞买人签字(盖章)：</w:t>
            </w:r>
          </w:p>
        </w:tc>
      </w:tr>
    </w:tbl>
    <w:p>
      <w:pPr>
        <w:numPr>
          <w:ilvl w:val="0"/>
          <w:numId w:val="0"/>
        </w:numPr>
        <w:spacing w:line="120" w:lineRule="auto"/>
        <w:jc w:val="left"/>
        <w:rPr>
          <w:rFonts w:hint="eastAsia" w:ascii="宋体" w:hAnsi="宋体" w:eastAsia="宋体" w:cs="宋体"/>
          <w:b/>
          <w:bCs w:val="0"/>
          <w:sz w:val="24"/>
          <w:szCs w:val="24"/>
          <w:u w:val="none"/>
          <w:lang w:val="en-US" w:eastAsia="zh-CN"/>
        </w:rPr>
      </w:pPr>
    </w:p>
    <w:p>
      <w:pPr>
        <w:numPr>
          <w:ilvl w:val="0"/>
          <w:numId w:val="0"/>
        </w:numPr>
        <w:spacing w:line="120" w:lineRule="auto"/>
        <w:jc w:val="left"/>
        <w:rPr>
          <w:rFonts w:hint="eastAsia" w:ascii="宋体" w:hAnsi="宋体" w:eastAsia="宋体" w:cs="宋体"/>
          <w:b/>
          <w:bCs w:val="0"/>
          <w:sz w:val="24"/>
          <w:szCs w:val="24"/>
          <w:u w:val="none"/>
          <w:lang w:val="en-US" w:eastAsia="zh-CN"/>
        </w:rPr>
      </w:pPr>
    </w:p>
    <w:p>
      <w:pPr>
        <w:numPr>
          <w:ilvl w:val="0"/>
          <w:numId w:val="0"/>
        </w:numPr>
        <w:spacing w:line="120" w:lineRule="auto"/>
        <w:jc w:val="left"/>
        <w:rPr>
          <w:rFonts w:hint="eastAsia" w:ascii="宋体" w:hAnsi="宋体" w:eastAsia="宋体" w:cs="宋体"/>
          <w:b/>
          <w:bCs w:val="0"/>
          <w:sz w:val="24"/>
          <w:szCs w:val="24"/>
          <w:u w:val="none"/>
          <w:lang w:val="en-US" w:eastAsia="zh-CN"/>
        </w:rPr>
      </w:pPr>
    </w:p>
    <w:p>
      <w:pPr>
        <w:numPr>
          <w:ilvl w:val="0"/>
          <w:numId w:val="0"/>
        </w:numPr>
        <w:spacing w:line="120" w:lineRule="auto"/>
        <w:ind w:firstLine="482" w:firstLineChars="200"/>
        <w:jc w:val="left"/>
        <w:rPr>
          <w:rFonts w:hint="eastAsia" w:ascii="宋体" w:hAnsi="宋体" w:eastAsia="宋体" w:cs="宋体"/>
          <w:bCs/>
          <w:sz w:val="24"/>
          <w:szCs w:val="24"/>
          <w:lang w:val="en-US" w:eastAsia="zh-CN"/>
        </w:rPr>
      </w:pPr>
      <w:r>
        <w:rPr>
          <w:rFonts w:hint="eastAsia" w:ascii="宋体" w:hAnsi="宋体" w:eastAsia="宋体" w:cs="宋体"/>
          <w:b/>
          <w:bCs w:val="0"/>
          <w:sz w:val="24"/>
          <w:szCs w:val="24"/>
          <w:u w:val="none"/>
          <w:lang w:val="en-US" w:eastAsia="zh-CN"/>
        </w:rPr>
        <w:t>竞买人签字(盖章)：</w:t>
      </w:r>
      <w:r>
        <w:rPr>
          <w:rFonts w:hint="eastAsia" w:ascii="宋体" w:hAnsi="宋体" w:eastAsia="宋体" w:cs="宋体"/>
          <w:b/>
          <w:bCs/>
          <w:sz w:val="24"/>
          <w:szCs w:val="24"/>
          <w:lang w:val="en-US" w:eastAsia="zh-CN"/>
        </w:rPr>
        <w:t xml:space="preserve"> </w:t>
      </w: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p>
    <w:p>
      <w:pPr>
        <w:numPr>
          <w:ilvl w:val="0"/>
          <w:numId w:val="0"/>
        </w:numPr>
        <w:spacing w:line="120"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w:t>
      </w:r>
    </w:p>
    <w:p>
      <w:pPr>
        <w:numPr>
          <w:ilvl w:val="0"/>
          <w:numId w:val="0"/>
        </w:numPr>
        <w:spacing w:line="120" w:lineRule="auto"/>
        <w:jc w:val="left"/>
        <w:rPr>
          <w:rFonts w:hint="eastAsia" w:ascii="宋体" w:hAnsi="宋体" w:eastAsia="宋体" w:cs="宋体"/>
          <w:bCs/>
          <w:sz w:val="24"/>
          <w:szCs w:val="24"/>
          <w:lang w:val="en-US" w:eastAsia="zh-CN"/>
        </w:rPr>
      </w:pPr>
    </w:p>
    <w:p>
      <w:pPr>
        <w:numPr>
          <w:ilvl w:val="0"/>
          <w:numId w:val="0"/>
        </w:numPr>
        <w:spacing w:line="120" w:lineRule="auto"/>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菏泽市兴菏国有产权交易有限责任公司</w:t>
      </w:r>
    </w:p>
    <w:p>
      <w:pPr>
        <w:numPr>
          <w:ilvl w:val="0"/>
          <w:numId w:val="0"/>
        </w:numPr>
        <w:spacing w:line="120" w:lineRule="auto"/>
        <w:ind w:firstLine="5280" w:firstLineChars="2200"/>
        <w:jc w:val="left"/>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菏泽翰光拍卖有限公司</w:t>
      </w:r>
    </w:p>
    <w:p>
      <w:pPr>
        <w:spacing w:line="120" w:lineRule="auto"/>
        <w:jc w:val="left"/>
        <w:rPr>
          <w:rFonts w:cs="仿宋_GB2312" w:asciiTheme="minorEastAsia" w:hAnsiTheme="minorEastAsia"/>
          <w:bCs/>
          <w:sz w:val="24"/>
          <w:szCs w:val="24"/>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20</w:t>
      </w:r>
      <w:r>
        <w:rPr>
          <w:rFonts w:hint="eastAsia" w:ascii="宋体" w:hAnsi="宋体" w:eastAsia="宋体" w:cs="宋体"/>
          <w:bCs/>
          <w:sz w:val="24"/>
          <w:szCs w:val="24"/>
          <w:lang w:val="en-US" w:eastAsia="zh-CN"/>
        </w:rPr>
        <w:t>20</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3</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12</w:t>
      </w:r>
      <w:r>
        <w:rPr>
          <w:rFonts w:hint="eastAsia" w:ascii="宋体" w:hAnsi="宋体" w:eastAsia="宋体" w:cs="宋体"/>
          <w:bCs/>
          <w:sz w:val="24"/>
          <w:szCs w:val="24"/>
        </w:rPr>
        <w:t>日</w:t>
      </w:r>
      <w:bookmarkEnd w:id="0"/>
      <w:bookmarkEnd w:id="1"/>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21"/>
    <w:rsid w:val="00016C74"/>
    <w:rsid w:val="0002112F"/>
    <w:rsid w:val="00026B51"/>
    <w:rsid w:val="0008759D"/>
    <w:rsid w:val="000F63C7"/>
    <w:rsid w:val="0010378C"/>
    <w:rsid w:val="00134C5E"/>
    <w:rsid w:val="00162331"/>
    <w:rsid w:val="00162BFC"/>
    <w:rsid w:val="00163DE2"/>
    <w:rsid w:val="00175D2C"/>
    <w:rsid w:val="00176900"/>
    <w:rsid w:val="001823AA"/>
    <w:rsid w:val="001A0CF2"/>
    <w:rsid w:val="00236ABE"/>
    <w:rsid w:val="002508F9"/>
    <w:rsid w:val="00293179"/>
    <w:rsid w:val="002A1782"/>
    <w:rsid w:val="002D5216"/>
    <w:rsid w:val="00342CF9"/>
    <w:rsid w:val="003743DA"/>
    <w:rsid w:val="00384D92"/>
    <w:rsid w:val="003C04B4"/>
    <w:rsid w:val="003E19F2"/>
    <w:rsid w:val="004032C0"/>
    <w:rsid w:val="00447594"/>
    <w:rsid w:val="004573CA"/>
    <w:rsid w:val="00480265"/>
    <w:rsid w:val="004A16C9"/>
    <w:rsid w:val="00543CC5"/>
    <w:rsid w:val="00567DCE"/>
    <w:rsid w:val="00587444"/>
    <w:rsid w:val="005D64FB"/>
    <w:rsid w:val="005D7D6C"/>
    <w:rsid w:val="0061768D"/>
    <w:rsid w:val="00640E5B"/>
    <w:rsid w:val="006F3C3B"/>
    <w:rsid w:val="0071228D"/>
    <w:rsid w:val="007153D2"/>
    <w:rsid w:val="007308E8"/>
    <w:rsid w:val="00737906"/>
    <w:rsid w:val="0074693F"/>
    <w:rsid w:val="007611CC"/>
    <w:rsid w:val="00776875"/>
    <w:rsid w:val="007C0117"/>
    <w:rsid w:val="007D32D7"/>
    <w:rsid w:val="008208AD"/>
    <w:rsid w:val="00855FB1"/>
    <w:rsid w:val="00902D8A"/>
    <w:rsid w:val="00914885"/>
    <w:rsid w:val="0092088F"/>
    <w:rsid w:val="00924B0E"/>
    <w:rsid w:val="009428F5"/>
    <w:rsid w:val="0094291A"/>
    <w:rsid w:val="009643A2"/>
    <w:rsid w:val="00981C96"/>
    <w:rsid w:val="00994F93"/>
    <w:rsid w:val="00A353A7"/>
    <w:rsid w:val="00A879DC"/>
    <w:rsid w:val="00A9254D"/>
    <w:rsid w:val="00AF16F6"/>
    <w:rsid w:val="00B114E3"/>
    <w:rsid w:val="00B338ED"/>
    <w:rsid w:val="00B37A2A"/>
    <w:rsid w:val="00C001DF"/>
    <w:rsid w:val="00C0251B"/>
    <w:rsid w:val="00C43863"/>
    <w:rsid w:val="00C65509"/>
    <w:rsid w:val="00CA5DF7"/>
    <w:rsid w:val="00D20541"/>
    <w:rsid w:val="00D25221"/>
    <w:rsid w:val="00D269E3"/>
    <w:rsid w:val="00D45FE1"/>
    <w:rsid w:val="00D86A12"/>
    <w:rsid w:val="00DC33F4"/>
    <w:rsid w:val="00DF3C66"/>
    <w:rsid w:val="00E56C9A"/>
    <w:rsid w:val="00EB3E82"/>
    <w:rsid w:val="00F13848"/>
    <w:rsid w:val="00F55E69"/>
    <w:rsid w:val="00F66A9E"/>
    <w:rsid w:val="00F75286"/>
    <w:rsid w:val="00FB2152"/>
    <w:rsid w:val="00FC42FC"/>
    <w:rsid w:val="00FE6706"/>
    <w:rsid w:val="02B1711F"/>
    <w:rsid w:val="03267FAC"/>
    <w:rsid w:val="06266FCC"/>
    <w:rsid w:val="06D10B17"/>
    <w:rsid w:val="0AA81D7F"/>
    <w:rsid w:val="0F2A6111"/>
    <w:rsid w:val="10935D19"/>
    <w:rsid w:val="14786A57"/>
    <w:rsid w:val="25584540"/>
    <w:rsid w:val="26B92CBB"/>
    <w:rsid w:val="2D756D23"/>
    <w:rsid w:val="305C5273"/>
    <w:rsid w:val="33B60D82"/>
    <w:rsid w:val="371450E1"/>
    <w:rsid w:val="3B9D2ACF"/>
    <w:rsid w:val="3EBA7174"/>
    <w:rsid w:val="425D2446"/>
    <w:rsid w:val="53DB6C4E"/>
    <w:rsid w:val="5D3D3457"/>
    <w:rsid w:val="610B7E65"/>
    <w:rsid w:val="67BD29A5"/>
    <w:rsid w:val="680E4BEE"/>
    <w:rsid w:val="6AB70842"/>
    <w:rsid w:val="6BE53E3C"/>
    <w:rsid w:val="6CDB3340"/>
    <w:rsid w:val="7A1A6913"/>
    <w:rsid w:val="7BB74769"/>
    <w:rsid w:val="7CC67F55"/>
    <w:rsid w:val="7DE01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qFormat/>
    <w:uiPriority w:val="0"/>
    <w:rPr>
      <w:rFonts w:ascii="Times New Roman" w:hAnsi="Times New Roman" w:eastAsia="宋体" w:cs="Times New Roman"/>
    </w:rPr>
  </w:style>
  <w:style w:type="paragraph" w:customStyle="1" w:styleId="9">
    <w:name w:val="列出段落1"/>
    <w:basedOn w:val="1"/>
    <w:qFormat/>
    <w:uiPriority w:val="34"/>
    <w:pPr>
      <w:ind w:firstLine="420" w:firstLineChars="200"/>
    </w:pPr>
  </w:style>
  <w:style w:type="character" w:customStyle="1" w:styleId="10">
    <w:name w:val="页眉 字符"/>
    <w:basedOn w:val="7"/>
    <w:link w:val="3"/>
    <w:qFormat/>
    <w:uiPriority w:val="99"/>
    <w:rPr>
      <w:rFonts w:asciiTheme="minorHAnsi" w:hAnsiTheme="minorHAnsi" w:eastAsiaTheme="minorEastAsia" w:cstheme="minorBidi"/>
      <w:kern w:val="2"/>
      <w:sz w:val="18"/>
      <w:szCs w:val="18"/>
    </w:rPr>
  </w:style>
  <w:style w:type="character" w:customStyle="1" w:styleId="11">
    <w:name w:val="页脚 字符"/>
    <w:basedOn w:val="7"/>
    <w:link w:val="2"/>
    <w:qFormat/>
    <w:uiPriority w:val="99"/>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244</Words>
  <Characters>1394</Characters>
  <Lines>11</Lines>
  <Paragraphs>3</Paragraphs>
  <TotalTime>2</TotalTime>
  <ScaleCrop>false</ScaleCrop>
  <LinksUpToDate>false</LinksUpToDate>
  <CharactersWithSpaces>1635</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2017-11-24T03:43:00Z</dcterms:created>
  <dc:creator>Windows 用户</dc:creator>
  <cp:lastModifiedBy>Administrator</cp:lastModifiedBy>
  <cp:lastPrinted>2020-03-12T09:07:00Z</cp:lastPrinted>
  <dcterms:modified xsi:type="dcterms:W3CDTF">2020-03-13T09:57:37Z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